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64" w:rsidRDefault="006C2D64" w:rsidP="006C2D64">
      <w:pPr>
        <w:jc w:val="center"/>
        <w:rPr>
          <w:rFonts w:eastAsia="標楷體"/>
          <w:sz w:val="28"/>
          <w:szCs w:val="28"/>
        </w:rPr>
      </w:pPr>
      <w:bookmarkStart w:id="0" w:name="_GoBack"/>
      <w:bookmarkEnd w:id="0"/>
      <w:r w:rsidRPr="006C2D64">
        <w:rPr>
          <w:rFonts w:eastAsia="標楷體"/>
          <w:sz w:val="28"/>
          <w:szCs w:val="28"/>
        </w:rPr>
        <w:t>國立嘉義大學圖書館跨館圖書互借服務要點</w:t>
      </w:r>
    </w:p>
    <w:p w:rsidR="006C2D64" w:rsidRDefault="006C2D64" w:rsidP="006C2D64">
      <w:pPr>
        <w:rPr>
          <w:rFonts w:eastAsia="標楷體"/>
          <w:szCs w:val="24"/>
        </w:rPr>
      </w:pPr>
    </w:p>
    <w:p w:rsidR="006C2D64" w:rsidRDefault="006C2D64" w:rsidP="006C2D64">
      <w:pPr>
        <w:ind w:right="1073"/>
        <w:rPr>
          <w:rFonts w:ascii="標楷體" w:eastAsia="標楷體" w:hAnsi="標楷體"/>
        </w:rPr>
      </w:pPr>
      <w:r>
        <w:rPr>
          <w:rFonts w:ascii="標楷體" w:eastAsia="標楷體" w:hAnsi="標楷體"/>
        </w:rPr>
        <w:t>94年05月30日館務會議通過</w:t>
      </w:r>
    </w:p>
    <w:p w:rsidR="006C2D64" w:rsidRDefault="006C2D64" w:rsidP="006C2D64">
      <w:pPr>
        <w:rPr>
          <w:rFonts w:ascii="標楷體" w:eastAsia="標楷體" w:hAnsi="標楷體"/>
        </w:rPr>
      </w:pPr>
      <w:r>
        <w:rPr>
          <w:rFonts w:ascii="標楷體" w:eastAsia="標楷體" w:hAnsi="標楷體"/>
        </w:rPr>
        <w:t>99年02月09日館務會議修正</w:t>
      </w:r>
    </w:p>
    <w:p w:rsidR="006C2D64" w:rsidRDefault="006C2D64" w:rsidP="006C2D64">
      <w:pPr>
        <w:rPr>
          <w:rFonts w:ascii="標楷體" w:eastAsia="標楷體" w:hAnsi="標楷體"/>
        </w:rPr>
      </w:pPr>
    </w:p>
    <w:p w:rsidR="006C2D64" w:rsidRDefault="006C2D64" w:rsidP="006C2D64">
      <w:pPr>
        <w:spacing w:before="240" w:after="240" w:line="240" w:lineRule="atLeast"/>
        <w:ind w:left="720" w:right="113" w:hanging="720"/>
      </w:pPr>
      <w:r>
        <w:rPr>
          <w:rFonts w:ascii="標楷體" w:eastAsia="標楷體" w:hAnsi="標楷體"/>
        </w:rPr>
        <w:t>一、</w:t>
      </w:r>
      <w:r>
        <w:rPr>
          <w:rFonts w:eastAsia="標楷體"/>
          <w:bCs/>
        </w:rPr>
        <w:t>為加強與其他圖書館之合作關係，秉持資源共享理念及平等互惠原則，特訂定本要點。</w:t>
      </w:r>
    </w:p>
    <w:p w:rsidR="006C2D64" w:rsidRDefault="006C2D64" w:rsidP="006C2D64">
      <w:pPr>
        <w:spacing w:before="240" w:after="120" w:line="240" w:lineRule="atLeast"/>
        <w:ind w:left="720" w:right="113" w:hanging="720"/>
      </w:pPr>
      <w:r>
        <w:rPr>
          <w:rFonts w:ascii="標楷體" w:eastAsia="標楷體" w:hAnsi="標楷體"/>
        </w:rPr>
        <w:t>二、</w:t>
      </w:r>
      <w:r>
        <w:rPr>
          <w:rFonts w:eastAsia="標楷體"/>
          <w:bCs/>
        </w:rPr>
        <w:t>互借方式：</w:t>
      </w:r>
    </w:p>
    <w:p w:rsidR="006C2D64" w:rsidRPr="006C2D64" w:rsidRDefault="006C2D64" w:rsidP="006C2D64">
      <w:pPr>
        <w:pStyle w:val="ab"/>
        <w:numPr>
          <w:ilvl w:val="0"/>
          <w:numId w:val="2"/>
        </w:numPr>
        <w:tabs>
          <w:tab w:val="left" w:pos="1047"/>
        </w:tabs>
        <w:spacing w:before="120" w:after="120" w:line="240" w:lineRule="atLeast"/>
        <w:ind w:leftChars="0" w:right="113"/>
      </w:pPr>
      <w:r w:rsidRPr="006C2D64">
        <w:rPr>
          <w:rFonts w:eastAsia="標楷體"/>
        </w:rPr>
        <w:t>參加合作組織之單位圖書館，以該組織核發之借書證辦理借閱。</w:t>
      </w:r>
    </w:p>
    <w:p w:rsidR="006C2D64" w:rsidRDefault="006C2D64" w:rsidP="006C2D64">
      <w:pPr>
        <w:pStyle w:val="ab"/>
        <w:numPr>
          <w:ilvl w:val="0"/>
          <w:numId w:val="2"/>
        </w:numPr>
        <w:tabs>
          <w:tab w:val="left" w:pos="1047"/>
        </w:tabs>
        <w:spacing w:before="120" w:after="120" w:line="240" w:lineRule="atLeast"/>
        <w:ind w:leftChars="0" w:right="113"/>
      </w:pPr>
      <w:r w:rsidRPr="006C2D64">
        <w:rPr>
          <w:rFonts w:eastAsia="標楷體"/>
          <w:bCs/>
          <w:color w:val="000000"/>
        </w:rPr>
        <w:t>與本校訂定策略聯盟之學校或與本校有產學合作關係之學術單位圖書館，得</w:t>
      </w:r>
      <w:r w:rsidRPr="006C2D64">
        <w:rPr>
          <w:rFonts w:eastAsia="標楷體"/>
          <w:color w:val="000000"/>
        </w:rPr>
        <w:t>與本館訂定互借協議，</w:t>
      </w:r>
      <w:r w:rsidRPr="006C2D64">
        <w:rPr>
          <w:rFonts w:eastAsia="標楷體"/>
          <w:bCs/>
          <w:color w:val="000000"/>
        </w:rPr>
        <w:t>以本館核發該單位借書證或互換之跨館圖書互借借書證借閱。</w:t>
      </w:r>
    </w:p>
    <w:p w:rsidR="006C2D64" w:rsidRDefault="006C2D64" w:rsidP="006C2D64">
      <w:pPr>
        <w:spacing w:before="240" w:after="240"/>
        <w:ind w:left="720" w:right="113" w:hanging="720"/>
      </w:pPr>
      <w:r>
        <w:rPr>
          <w:rFonts w:ascii="標楷體" w:eastAsia="標楷體" w:hAnsi="標楷體"/>
        </w:rPr>
        <w:t>三、</w:t>
      </w:r>
      <w:r>
        <w:rPr>
          <w:rFonts w:eastAsia="標楷體"/>
          <w:bCs/>
        </w:rPr>
        <w:t>申請跨館圖書互借服務依協議書之內容辦理相關事項。</w:t>
      </w:r>
    </w:p>
    <w:p w:rsidR="006C2D64" w:rsidRDefault="006C2D64" w:rsidP="006C2D64">
      <w:pPr>
        <w:spacing w:before="240" w:after="240"/>
        <w:ind w:left="480" w:right="113" w:hanging="480"/>
      </w:pPr>
      <w:r>
        <w:rPr>
          <w:rFonts w:eastAsia="標楷體"/>
          <w:bCs/>
        </w:rPr>
        <w:t>四、與本館簽訂跨館圖書互借協議之圖書館，其所屬讀者逕憑雙方認可之有效證件或本館核發之跨館圖書互借借書證至本館辦理資料借閱。</w:t>
      </w:r>
    </w:p>
    <w:p w:rsidR="006C2D64" w:rsidRDefault="006C2D64" w:rsidP="006C2D64">
      <w:pPr>
        <w:spacing w:before="240" w:after="120"/>
        <w:ind w:left="720" w:right="113" w:hanging="720"/>
      </w:pPr>
      <w:r>
        <w:rPr>
          <w:rFonts w:ascii="標楷體" w:eastAsia="標楷體" w:hAnsi="標楷體"/>
        </w:rPr>
        <w:t>五、</w:t>
      </w:r>
      <w:r>
        <w:rPr>
          <w:rFonts w:eastAsia="標楷體"/>
        </w:rPr>
        <w:t>簽訂跨館圖書互借協議書之圖書館應遵守下列規定：</w:t>
      </w:r>
    </w:p>
    <w:p w:rsidR="006C2D64" w:rsidRDefault="006C2D64" w:rsidP="006C2D64">
      <w:pPr>
        <w:numPr>
          <w:ilvl w:val="0"/>
          <w:numId w:val="3"/>
        </w:numPr>
        <w:tabs>
          <w:tab w:val="left" w:pos="807"/>
        </w:tabs>
        <w:spacing w:before="120" w:after="120"/>
        <w:ind w:left="1077" w:right="113" w:hanging="870"/>
        <w:rPr>
          <w:rFonts w:eastAsia="標楷體"/>
        </w:rPr>
      </w:pPr>
      <w:r>
        <w:rPr>
          <w:rFonts w:eastAsia="標楷體"/>
        </w:rPr>
        <w:t>須確認所屬讀者之借閱資格。</w:t>
      </w:r>
    </w:p>
    <w:p w:rsidR="006C2D64" w:rsidRDefault="006C2D64" w:rsidP="006C2D64">
      <w:pPr>
        <w:numPr>
          <w:ilvl w:val="0"/>
          <w:numId w:val="3"/>
        </w:numPr>
        <w:tabs>
          <w:tab w:val="left" w:pos="807"/>
        </w:tabs>
        <w:spacing w:before="120" w:after="120"/>
        <w:ind w:left="1077" w:right="113" w:hanging="870"/>
        <w:rPr>
          <w:rFonts w:eastAsia="標楷體"/>
        </w:rPr>
      </w:pPr>
      <w:r>
        <w:rPr>
          <w:rFonts w:eastAsia="標楷體"/>
        </w:rPr>
        <w:t>讀者入館、使用資源及借還資料悉依本館各相關規定辦理。</w:t>
      </w:r>
    </w:p>
    <w:p w:rsidR="006C2D64" w:rsidRDefault="006C2D64" w:rsidP="006C2D64">
      <w:pPr>
        <w:numPr>
          <w:ilvl w:val="0"/>
          <w:numId w:val="3"/>
        </w:numPr>
        <w:tabs>
          <w:tab w:val="left" w:pos="807"/>
        </w:tabs>
        <w:spacing w:before="120" w:after="120"/>
        <w:ind w:left="927" w:right="113"/>
        <w:rPr>
          <w:rFonts w:eastAsia="標楷體"/>
        </w:rPr>
      </w:pPr>
      <w:r>
        <w:rPr>
          <w:rFonts w:eastAsia="標楷體"/>
        </w:rPr>
        <w:t>跨館圖書互借借書證如有遺失，應儘速通知本館以便凍結該枚證件之借閱權；如未及時通知致使館藏損失，其損失責任由遺失證件之一方負責。</w:t>
      </w:r>
    </w:p>
    <w:p w:rsidR="006C2D64" w:rsidRDefault="006C2D64" w:rsidP="006C2D64">
      <w:pPr>
        <w:numPr>
          <w:ilvl w:val="0"/>
          <w:numId w:val="3"/>
        </w:numPr>
        <w:tabs>
          <w:tab w:val="left" w:pos="927"/>
        </w:tabs>
        <w:spacing w:before="120" w:after="120"/>
        <w:ind w:left="927" w:right="113"/>
        <w:rPr>
          <w:rFonts w:eastAsia="標楷體"/>
        </w:rPr>
      </w:pPr>
      <w:r>
        <w:rPr>
          <w:rFonts w:eastAsia="標楷體"/>
        </w:rPr>
        <w:t>讀者應遵守本館之各項規定，若有違反之情事，依相關規定辦理，其所屬圖書館需負相關責任。若違規情節重大時，本館得停止其借閱權。</w:t>
      </w:r>
    </w:p>
    <w:p w:rsidR="006C2D64" w:rsidRDefault="006C2D64" w:rsidP="006C2D64">
      <w:pPr>
        <w:numPr>
          <w:ilvl w:val="0"/>
          <w:numId w:val="3"/>
        </w:numPr>
        <w:tabs>
          <w:tab w:val="left" w:pos="927"/>
        </w:tabs>
        <w:spacing w:before="120" w:after="120"/>
        <w:ind w:left="927" w:right="113"/>
        <w:rPr>
          <w:rFonts w:eastAsia="標楷體"/>
        </w:rPr>
      </w:pPr>
      <w:r>
        <w:rPr>
          <w:rFonts w:eastAsia="標楷體"/>
        </w:rPr>
        <w:t>學生離校或教職員離職時，所屬圖書館須即時負責查核及催還所屬讀者跨館圖書互借之圖書資料，並將異動情形主動知會本館；如未及時通知而致使館藏損失，其損失責任由所屬圖書館負責。</w:t>
      </w:r>
    </w:p>
    <w:p w:rsidR="006C2D64" w:rsidRDefault="006C2D64" w:rsidP="006C2D64">
      <w:pPr>
        <w:numPr>
          <w:ilvl w:val="0"/>
          <w:numId w:val="3"/>
        </w:numPr>
        <w:spacing w:before="120" w:after="120"/>
        <w:ind w:left="927" w:right="113"/>
        <w:rPr>
          <w:rFonts w:eastAsia="標楷體"/>
        </w:rPr>
      </w:pPr>
      <w:r>
        <w:rPr>
          <w:rFonts w:eastAsia="標楷體"/>
        </w:rPr>
        <w:t>持學生證之應屆畢業生，自每年五月一日起停止借閱權利；若有特殊需求者，經所屬圖書館提出說明及證明文件後，得以繼續其借閱權。</w:t>
      </w:r>
    </w:p>
    <w:p w:rsidR="006C2D64" w:rsidRDefault="006C2D64" w:rsidP="006C2D64">
      <w:pPr>
        <w:numPr>
          <w:ilvl w:val="0"/>
          <w:numId w:val="3"/>
        </w:numPr>
        <w:tabs>
          <w:tab w:val="left" w:pos="927"/>
        </w:tabs>
        <w:spacing w:before="120" w:after="120"/>
        <w:ind w:left="1077" w:right="113" w:hanging="870"/>
        <w:rPr>
          <w:rFonts w:eastAsia="標楷體"/>
        </w:rPr>
      </w:pPr>
      <w:r>
        <w:rPr>
          <w:rFonts w:eastAsia="標楷體"/>
        </w:rPr>
        <w:t>若未能嚴謹執行協議書之內容，本館得以書面通知終止協議。</w:t>
      </w:r>
    </w:p>
    <w:p w:rsidR="006C2D64" w:rsidRDefault="006C2D64" w:rsidP="006C2D64">
      <w:pPr>
        <w:numPr>
          <w:ilvl w:val="0"/>
          <w:numId w:val="3"/>
        </w:numPr>
        <w:tabs>
          <w:tab w:val="left" w:pos="927"/>
        </w:tabs>
        <w:spacing w:before="120" w:after="120"/>
        <w:ind w:left="927" w:right="113"/>
        <w:rPr>
          <w:rFonts w:eastAsia="標楷體"/>
        </w:rPr>
      </w:pPr>
      <w:r>
        <w:rPr>
          <w:rFonts w:eastAsia="標楷體"/>
        </w:rPr>
        <w:t>若有與上述不同之規定，得經雙方協商後訂定之。借用日期如與本校或本館活動撞期時，本校或本館得優先使用。</w:t>
      </w:r>
    </w:p>
    <w:p w:rsidR="006C2D64" w:rsidRPr="006C2D64" w:rsidRDefault="006C2D64" w:rsidP="006C2D64">
      <w:pPr>
        <w:rPr>
          <w:rFonts w:ascii="標楷體" w:eastAsia="標楷體" w:hAnsi="標楷體" w:hint="eastAsia"/>
          <w:szCs w:val="24"/>
        </w:rPr>
      </w:pPr>
      <w:r>
        <w:rPr>
          <w:rFonts w:eastAsia="標楷體"/>
        </w:rPr>
        <w:t>六、本要點經館務會議通過後實施</w:t>
      </w:r>
      <w:r>
        <w:rPr>
          <w:rFonts w:ascii="新細明體" w:eastAsia="標楷體" w:hAnsi="新細明體"/>
        </w:rPr>
        <w:t>，</w:t>
      </w:r>
      <w:r>
        <w:rPr>
          <w:rFonts w:eastAsia="標楷體"/>
        </w:rPr>
        <w:t>修正時亦同。</w:t>
      </w:r>
    </w:p>
    <w:sectPr w:rsidR="006C2D64" w:rsidRPr="006C2D6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20A" w:rsidRDefault="00C5620A">
      <w:r>
        <w:separator/>
      </w:r>
    </w:p>
  </w:endnote>
  <w:endnote w:type="continuationSeparator" w:id="0">
    <w:p w:rsidR="00C5620A" w:rsidRDefault="00C5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20A" w:rsidRDefault="00C5620A">
      <w:r>
        <w:rPr>
          <w:color w:val="000000"/>
        </w:rPr>
        <w:separator/>
      </w:r>
    </w:p>
  </w:footnote>
  <w:footnote w:type="continuationSeparator" w:id="0">
    <w:p w:rsidR="00C5620A" w:rsidRDefault="00C562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53BA"/>
    <w:multiLevelType w:val="multilevel"/>
    <w:tmpl w:val="9E14F178"/>
    <w:styleLink w:val="WWOutlineListStyle"/>
    <w:lvl w:ilvl="0">
      <w:start w:val="1"/>
      <w:numFmt w:val="decimal"/>
      <w:pStyle w:val="1"/>
      <w:lvlText w:val="%1."/>
      <w:lvlJc w:val="left"/>
      <w:pPr>
        <w:ind w:left="567" w:hanging="283"/>
      </w:pPr>
      <w:rPr>
        <w:rFonts w:ascii="標楷體" w:eastAsia="標楷體" w:hAnsi="標楷體"/>
        <w:b w:val="0"/>
        <w:i w:val="0"/>
        <w:sz w:val="28"/>
      </w:rPr>
    </w:lvl>
    <w:lvl w:ilvl="1">
      <w:start w:val="1"/>
      <w:numFmt w:val="decimal"/>
      <w:pStyle w:val="2"/>
      <w:lvlText w:val="%1.%2"/>
      <w:lvlJc w:val="left"/>
      <w:pPr>
        <w:ind w:left="1134" w:hanging="567"/>
      </w:pPr>
      <w:rPr>
        <w:rFonts w:ascii="標楷體" w:eastAsia="標楷體" w:hAnsi="標楷體"/>
        <w:b w:val="0"/>
        <w:i w:val="0"/>
        <w:sz w:val="28"/>
      </w:rPr>
    </w:lvl>
    <w:lvl w:ilvl="2">
      <w:start w:val="1"/>
      <w:numFmt w:val="decimal"/>
      <w:pStyle w:val="3"/>
      <w:lvlText w:val="%1.%2.%3"/>
      <w:lvlJc w:val="left"/>
      <w:pPr>
        <w:ind w:left="1985" w:hanging="851"/>
      </w:pPr>
      <w:rPr>
        <w:rFonts w:ascii="標楷體" w:eastAsia="標楷體" w:hAnsi="標楷體"/>
        <w:b w:val="0"/>
        <w:i w:val="0"/>
        <w:sz w:val="28"/>
      </w:rPr>
    </w:lvl>
    <w:lvl w:ilvl="3">
      <w:start w:val="1"/>
      <w:numFmt w:val="decimal"/>
      <w:pStyle w:val="4"/>
      <w:lvlText w:val="(%4)"/>
      <w:lvlJc w:val="left"/>
      <w:pPr>
        <w:ind w:left="1985" w:hanging="567"/>
      </w:pPr>
      <w:rPr>
        <w:rFonts w:ascii="標楷體" w:eastAsia="標楷體" w:hAnsi="標楷體"/>
        <w:b w:val="0"/>
        <w:i w:val="0"/>
        <w:sz w:val="28"/>
      </w:rPr>
    </w:lvl>
    <w:lvl w:ilvl="4">
      <w:start w:val="1"/>
      <w:numFmt w:val="upperLetter"/>
      <w:pStyle w:val="5"/>
      <w:lvlText w:val="(%5)"/>
      <w:lvlJc w:val="left"/>
      <w:pPr>
        <w:ind w:left="2552" w:hanging="567"/>
      </w:pPr>
      <w:rPr>
        <w:rFonts w:ascii="標楷體" w:eastAsia="標楷體" w:hAnsi="標楷體"/>
        <w:b w:val="0"/>
        <w:i w:val="0"/>
        <w:sz w:val="28"/>
      </w:rPr>
    </w:lvl>
    <w:lvl w:ilvl="5">
      <w:start w:val="1"/>
      <w:numFmt w:val="lowerLetter"/>
      <w:pStyle w:val="6"/>
      <w:lvlText w:val="(%6)"/>
      <w:lvlJc w:val="left"/>
      <w:pPr>
        <w:ind w:left="4111" w:hanging="1134"/>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D064FF9"/>
    <w:multiLevelType w:val="multilevel"/>
    <w:tmpl w:val="6D0022D8"/>
    <w:lvl w:ilvl="0">
      <w:start w:val="1"/>
      <w:numFmt w:val="taiwaneseCountingThousand"/>
      <w:lvlText w:val="（%1）"/>
      <w:lvlJc w:val="left"/>
      <w:pPr>
        <w:ind w:left="1440" w:hanging="7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63BE2E0A"/>
    <w:multiLevelType w:val="multilevel"/>
    <w:tmpl w:val="17022FB2"/>
    <w:lvl w:ilvl="0">
      <w:start w:val="1"/>
      <w:numFmt w:val="taiwaneseCountingThousand"/>
      <w:lvlText w:val="（%1）"/>
      <w:lvlJc w:val="left"/>
      <w:pPr>
        <w:ind w:left="1003" w:hanging="720"/>
      </w:pPr>
      <w:rPr>
        <w:rFonts w:ascii="Times New Roman" w:eastAsia="標楷體" w:hAnsi="Times New Roman" w:cs="Times New Roman"/>
        <w:lang w:val="en-US"/>
      </w:rPr>
    </w:lvl>
    <w:lvl w:ilvl="1">
      <w:start w:val="1"/>
      <w:numFmt w:val="ideographTraditional"/>
      <w:lvlText w:val="%2、"/>
      <w:lvlJc w:val="left"/>
      <w:pPr>
        <w:ind w:left="1046" w:hanging="480"/>
      </w:pPr>
    </w:lvl>
    <w:lvl w:ilvl="2">
      <w:start w:val="1"/>
      <w:numFmt w:val="lowerRoman"/>
      <w:lvlText w:val="%3."/>
      <w:lvlJc w:val="right"/>
      <w:pPr>
        <w:ind w:left="1526" w:hanging="480"/>
      </w:pPr>
    </w:lvl>
    <w:lvl w:ilvl="3">
      <w:start w:val="1"/>
      <w:numFmt w:val="decimal"/>
      <w:lvlText w:val="%4."/>
      <w:lvlJc w:val="left"/>
      <w:pPr>
        <w:ind w:left="2006" w:hanging="480"/>
      </w:pPr>
    </w:lvl>
    <w:lvl w:ilvl="4">
      <w:start w:val="1"/>
      <w:numFmt w:val="ideographTraditional"/>
      <w:lvlText w:val="%5、"/>
      <w:lvlJc w:val="left"/>
      <w:pPr>
        <w:ind w:left="2486" w:hanging="480"/>
      </w:pPr>
    </w:lvl>
    <w:lvl w:ilvl="5">
      <w:start w:val="1"/>
      <w:numFmt w:val="lowerRoman"/>
      <w:lvlText w:val="%6."/>
      <w:lvlJc w:val="right"/>
      <w:pPr>
        <w:ind w:left="2966" w:hanging="480"/>
      </w:pPr>
    </w:lvl>
    <w:lvl w:ilvl="6">
      <w:start w:val="1"/>
      <w:numFmt w:val="decimal"/>
      <w:lvlText w:val="%7."/>
      <w:lvlJc w:val="left"/>
      <w:pPr>
        <w:ind w:left="3446" w:hanging="480"/>
      </w:pPr>
    </w:lvl>
    <w:lvl w:ilvl="7">
      <w:start w:val="1"/>
      <w:numFmt w:val="ideographTraditional"/>
      <w:lvlText w:val="%8、"/>
      <w:lvlJc w:val="left"/>
      <w:pPr>
        <w:ind w:left="3926" w:hanging="480"/>
      </w:pPr>
    </w:lvl>
    <w:lvl w:ilvl="8">
      <w:start w:val="1"/>
      <w:numFmt w:val="lowerRoman"/>
      <w:lvlText w:val="%9."/>
      <w:lvlJc w:val="right"/>
      <w:pPr>
        <w:ind w:left="4406"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31086"/>
    <w:rsid w:val="00431086"/>
    <w:rsid w:val="006C2D64"/>
    <w:rsid w:val="00986392"/>
    <w:rsid w:val="00C562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1344"/>
  <w15:docId w15:val="{3153347C-B96D-40CF-9357-C142974D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paragraph" w:styleId="1">
    <w:name w:val="heading 1"/>
    <w:basedOn w:val="a"/>
    <w:next w:val="a"/>
    <w:pPr>
      <w:numPr>
        <w:numId w:val="1"/>
      </w:numPr>
      <w:tabs>
        <w:tab w:val="left" w:pos="0"/>
        <w:tab w:val="left" w:pos="77"/>
      </w:tabs>
      <w:snapToGrid w:val="0"/>
      <w:spacing w:before="240" w:after="120"/>
      <w:ind w:right="284"/>
      <w:outlineLvl w:val="0"/>
    </w:pPr>
    <w:rPr>
      <w:rFonts w:ascii="標楷體" w:eastAsia="標楷體" w:hAnsi="標楷體"/>
      <w:bCs/>
      <w:kern w:val="0"/>
      <w:sz w:val="28"/>
      <w:szCs w:val="52"/>
    </w:rPr>
  </w:style>
  <w:style w:type="paragraph" w:styleId="2">
    <w:name w:val="heading 2"/>
    <w:basedOn w:val="1"/>
    <w:pPr>
      <w:numPr>
        <w:ilvl w:val="1"/>
      </w:numPr>
      <w:tabs>
        <w:tab w:val="clear" w:pos="77"/>
      </w:tabs>
      <w:spacing w:before="0"/>
      <w:outlineLvl w:val="1"/>
    </w:pPr>
    <w:rPr>
      <w:bCs w:val="0"/>
      <w:szCs w:val="48"/>
    </w:rPr>
  </w:style>
  <w:style w:type="paragraph" w:styleId="3">
    <w:name w:val="heading 3"/>
    <w:basedOn w:val="2"/>
    <w:pPr>
      <w:numPr>
        <w:ilvl w:val="2"/>
      </w:numPr>
      <w:outlineLvl w:val="2"/>
    </w:pPr>
    <w:rPr>
      <w:bCs/>
      <w:szCs w:val="36"/>
    </w:rPr>
  </w:style>
  <w:style w:type="paragraph" w:styleId="4">
    <w:name w:val="heading 4"/>
    <w:basedOn w:val="3"/>
    <w:pPr>
      <w:numPr>
        <w:ilvl w:val="3"/>
      </w:numPr>
      <w:outlineLvl w:val="3"/>
    </w:pPr>
  </w:style>
  <w:style w:type="paragraph" w:styleId="5">
    <w:name w:val="heading 5"/>
    <w:basedOn w:val="4"/>
    <w:pPr>
      <w:numPr>
        <w:ilvl w:val="4"/>
      </w:numPr>
      <w:outlineLvl w:val="4"/>
    </w:pPr>
    <w:rPr>
      <w:bCs w:val="0"/>
    </w:rPr>
  </w:style>
  <w:style w:type="paragraph" w:styleId="6">
    <w:name w:val="heading 6"/>
    <w:basedOn w:val="5"/>
    <w:pPr>
      <w:numPr>
        <w:ilvl w:val="5"/>
      </w:numPr>
      <w:tabs>
        <w:tab w:val="left" w:pos="-991"/>
      </w:tabs>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a3">
    <w:name w:val="Date"/>
    <w:basedOn w:val="a"/>
    <w:next w:val="a"/>
    <w:pPr>
      <w:jc w:val="right"/>
    </w:pPr>
  </w:style>
  <w:style w:type="paragraph" w:styleId="30">
    <w:name w:val="Body Text Indent 3"/>
    <w:basedOn w:val="a"/>
    <w:pPr>
      <w:snapToGrid w:val="0"/>
      <w:spacing w:line="300" w:lineRule="auto"/>
      <w:ind w:left="1800"/>
    </w:pPr>
    <w:rPr>
      <w:sz w:val="28"/>
    </w:rPr>
  </w:style>
  <w:style w:type="paragraph" w:styleId="a4">
    <w:name w:val="Body Text Indent"/>
    <w:basedOn w:val="a"/>
    <w:pPr>
      <w:snapToGrid w:val="0"/>
      <w:spacing w:line="300" w:lineRule="auto"/>
      <w:ind w:left="2585"/>
      <w:jc w:val="both"/>
    </w:pPr>
    <w:rPr>
      <w:sz w:val="28"/>
    </w:rPr>
  </w:style>
  <w:style w:type="paragraph" w:styleId="20">
    <w:name w:val="Body Text Indent 2"/>
    <w:basedOn w:val="a"/>
    <w:pPr>
      <w:snapToGrid w:val="0"/>
      <w:spacing w:line="300" w:lineRule="auto"/>
      <w:ind w:left="1680"/>
      <w:jc w:val="both"/>
    </w:pPr>
    <w:rPr>
      <w:sz w:val="28"/>
    </w:rPr>
  </w:style>
  <w:style w:type="paragraph" w:styleId="a5">
    <w:name w:val="footer"/>
    <w:basedOn w:val="a"/>
    <w:pPr>
      <w:tabs>
        <w:tab w:val="center" w:pos="4153"/>
        <w:tab w:val="right" w:pos="8306"/>
      </w:tabs>
      <w:snapToGrid w:val="0"/>
    </w:pPr>
    <w:rPr>
      <w:sz w:val="20"/>
    </w:rPr>
  </w:style>
  <w:style w:type="paragraph" w:styleId="a6">
    <w:name w:val="header"/>
    <w:basedOn w:val="a"/>
    <w:pPr>
      <w:tabs>
        <w:tab w:val="center" w:pos="4153"/>
        <w:tab w:val="right" w:pos="8306"/>
      </w:tabs>
      <w:snapToGrid w:val="0"/>
    </w:pPr>
    <w:rPr>
      <w:sz w:val="20"/>
    </w:rPr>
  </w:style>
  <w:style w:type="character" w:styleId="a7">
    <w:name w:val="page number"/>
    <w:basedOn w:val="a0"/>
  </w:style>
  <w:style w:type="paragraph" w:styleId="Web">
    <w:name w:val="Normal (Web)"/>
    <w:basedOn w:val="a"/>
    <w:pPr>
      <w:widowControl/>
      <w:spacing w:before="100" w:after="100"/>
    </w:pPr>
    <w:rPr>
      <w:rFonts w:ascii="新細明體" w:hAnsi="新細明體"/>
      <w:color w:val="000000"/>
      <w:kern w:val="0"/>
      <w:szCs w:val="24"/>
    </w:rPr>
  </w:style>
  <w:style w:type="paragraph" w:styleId="a8">
    <w:name w:val="Plain Text"/>
    <w:basedOn w:val="a"/>
    <w:rPr>
      <w:rFonts w:ascii="細明體" w:eastAsia="細明體" w:hAnsi="細明體"/>
    </w:rPr>
  </w:style>
  <w:style w:type="paragraph" w:styleId="a9">
    <w:name w:val="Body Text"/>
    <w:basedOn w:val="a"/>
    <w:rPr>
      <w:sz w:val="28"/>
    </w:rPr>
  </w:style>
  <w:style w:type="paragraph" w:styleId="aa">
    <w:name w:val="Block Text"/>
    <w:basedOn w:val="a"/>
    <w:pPr>
      <w:tabs>
        <w:tab w:val="left" w:pos="4181"/>
        <w:tab w:val="left" w:pos="8362"/>
      </w:tabs>
      <w:snapToGrid w:val="0"/>
      <w:ind w:left="539" w:right="113"/>
      <w:jc w:val="both"/>
    </w:pPr>
    <w:rPr>
      <w:sz w:val="28"/>
    </w:rPr>
  </w:style>
  <w:style w:type="character" w:customStyle="1" w:styleId="unnamed11">
    <w:name w:val="unnamed11"/>
    <w:basedOn w:val="a0"/>
    <w:rPr>
      <w:rFonts w:ascii="新細明體" w:eastAsia="新細明體" w:hAnsi="新細明體"/>
      <w:sz w:val="20"/>
      <w:szCs w:val="20"/>
    </w:rPr>
  </w:style>
  <w:style w:type="paragraph" w:styleId="ab">
    <w:name w:val="List Paragraph"/>
    <w:basedOn w:val="a"/>
    <w:uiPriority w:val="34"/>
    <w:qFormat/>
    <w:rsid w:val="006C2D6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標準書號碼</dc:title>
  <dc:creator>Unknown User</dc:creator>
  <cp:lastModifiedBy>Simba Chang</cp:lastModifiedBy>
  <cp:revision>2</cp:revision>
  <cp:lastPrinted>2005-05-30T09:15:00Z</cp:lastPrinted>
  <dcterms:created xsi:type="dcterms:W3CDTF">2018-02-26T01:28:00Z</dcterms:created>
  <dcterms:modified xsi:type="dcterms:W3CDTF">2018-02-26T01:28:00Z</dcterms:modified>
</cp:coreProperties>
</file>