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0735" w14:textId="727DB083" w:rsidR="009847E5" w:rsidRPr="00F678A2" w:rsidRDefault="009847E5" w:rsidP="009847E5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國立</w:t>
      </w:r>
      <w:r w:rsidR="00F678A2" w:rsidRPr="00F678A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嘉義</w:t>
      </w:r>
      <w:r w:rsidRPr="00F678A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大學創新育成中心進駐收費及回饋辦法</w:t>
      </w:r>
    </w:p>
    <w:p w14:paraId="764B3BB7" w14:textId="77777777" w:rsidR="009847E5" w:rsidRPr="00F678A2" w:rsidRDefault="009847E5" w:rsidP="000D408F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 </w:t>
      </w:r>
    </w:p>
    <w:p w14:paraId="3F3ED5EA" w14:textId="77777777" w:rsidR="009847E5" w:rsidRPr="000D408F" w:rsidRDefault="009847E5" w:rsidP="009847E5">
      <w:pPr>
        <w:widowControl/>
        <w:shd w:val="clear" w:color="auto" w:fill="FFFFFF"/>
        <w:spacing w:before="120"/>
        <w:jc w:val="right"/>
        <w:rPr>
          <w:rFonts w:ascii="標楷體" w:eastAsia="標楷體" w:hAnsi="標楷體" w:cs="新細明體"/>
          <w:color w:val="000000" w:themeColor="text1"/>
          <w:kern w:val="0"/>
          <w:sz w:val="20"/>
          <w:szCs w:val="26"/>
        </w:rPr>
      </w:pP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中華民國</w:t>
      </w:r>
      <w:r w:rsidR="001D73B9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107</w:t>
      </w:r>
      <w:r w:rsidRPr="000D408F">
        <w:rPr>
          <w:rFonts w:ascii="標楷體" w:eastAsia="標楷體" w:hAnsi="標楷體" w:cs="新細明體"/>
          <w:color w:val="000000" w:themeColor="text1"/>
          <w:kern w:val="0"/>
          <w:sz w:val="20"/>
          <w:szCs w:val="26"/>
        </w:rPr>
        <w:t xml:space="preserve"> </w:t>
      </w: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年</w:t>
      </w:r>
      <w:r w:rsidR="001D73B9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2</w:t>
      </w: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 xml:space="preserve"> 月</w:t>
      </w:r>
      <w:r w:rsidR="001D73B9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13</w:t>
      </w:r>
      <w:r w:rsidRPr="000D408F">
        <w:rPr>
          <w:rFonts w:ascii="標楷體" w:eastAsia="標楷體" w:hAnsi="標楷體" w:cs="新細明體"/>
          <w:color w:val="000000" w:themeColor="text1"/>
          <w:kern w:val="0"/>
          <w:sz w:val="20"/>
          <w:szCs w:val="26"/>
        </w:rPr>
        <w:t xml:space="preserve"> </w:t>
      </w: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日</w:t>
      </w:r>
      <w:r w:rsidR="00AF0270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106</w:t>
      </w: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學年度第</w:t>
      </w:r>
      <w:r w:rsidR="00AF0270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2</w:t>
      </w: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學期第</w:t>
      </w:r>
      <w:r w:rsidR="00F678A2"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 xml:space="preserve"> </w:t>
      </w:r>
      <w:r w:rsidR="00A331B4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5</w:t>
      </w: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次行政會議通過</w:t>
      </w:r>
    </w:p>
    <w:p w14:paraId="64057A69" w14:textId="510E67E6" w:rsidR="002E74FD" w:rsidRPr="000D408F" w:rsidRDefault="002E74FD" w:rsidP="002E74FD">
      <w:pPr>
        <w:widowControl/>
        <w:shd w:val="clear" w:color="auto" w:fill="FFFFFF"/>
        <w:spacing w:before="120"/>
        <w:jc w:val="right"/>
        <w:rPr>
          <w:rFonts w:ascii="標楷體" w:eastAsia="標楷體" w:hAnsi="標楷體" w:cs="新細明體"/>
          <w:color w:val="000000" w:themeColor="text1"/>
          <w:kern w:val="0"/>
          <w:sz w:val="20"/>
          <w:szCs w:val="26"/>
        </w:rPr>
      </w:pP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中華民國</w:t>
      </w:r>
      <w:r w:rsidR="00544B9B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108</w:t>
      </w: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年</w:t>
      </w:r>
      <w:r w:rsidR="00544B9B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9</w:t>
      </w: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月</w:t>
      </w:r>
      <w:r w:rsidR="00544B9B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10</w:t>
      </w: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日</w:t>
      </w:r>
      <w:r w:rsidR="00544B9B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108</w:t>
      </w: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學年度第</w:t>
      </w:r>
      <w:r w:rsidR="00544B9B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1</w:t>
      </w:r>
      <w:r w:rsidRPr="000D408F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6"/>
        </w:rPr>
        <w:t>次行政會議通過</w:t>
      </w:r>
    </w:p>
    <w:p w14:paraId="0DC82271" w14:textId="77777777" w:rsidR="00F678A2" w:rsidRPr="00567CE1" w:rsidRDefault="00F678A2" w:rsidP="008E1BD5">
      <w:pPr>
        <w:pStyle w:val="a4"/>
        <w:widowControl/>
        <w:numPr>
          <w:ilvl w:val="1"/>
          <w:numId w:val="2"/>
        </w:numPr>
        <w:shd w:val="clear" w:color="auto" w:fill="FFFFFF"/>
        <w:spacing w:before="150" w:after="150"/>
        <w:ind w:leftChars="0" w:left="993" w:hanging="993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國立嘉義大學創新育成中心(以下簡稱本中心)</w:t>
      </w:r>
      <w:r w:rsidR="00567CE1" w:rsidRPr="00567C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567CE1"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為</w:t>
      </w:r>
      <w:r w:rsidR="00567C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強化中心輔導能量，並</w:t>
      </w:r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自籌</w:t>
      </w:r>
      <w:r w:rsidR="00567C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資源以</w:t>
      </w:r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充實</w:t>
      </w:r>
      <w:r w:rsidR="00567C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本中心基礎設施與相關經費，</w:t>
      </w:r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特訂定</w:t>
      </w:r>
      <w:r w:rsidR="00567C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「</w:t>
      </w:r>
      <w:r w:rsidR="00567CE1" w:rsidRPr="00567C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國立嘉義大學創新育成中心進駐收費及回饋辦法</w:t>
      </w:r>
      <w:r w:rsidR="00567C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」(以下簡稱</w:t>
      </w:r>
      <w:r w:rsidRPr="00567C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本辦法</w:t>
      </w:r>
      <w:r w:rsidR="00567CE1" w:rsidRPr="00567C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)</w:t>
      </w:r>
      <w:r w:rsidRPr="00567C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14:paraId="51DDF230" w14:textId="77777777" w:rsidR="009847E5" w:rsidRPr="00F678A2" w:rsidRDefault="00F678A2" w:rsidP="00F678A2">
      <w:pPr>
        <w:pStyle w:val="a4"/>
        <w:widowControl/>
        <w:numPr>
          <w:ilvl w:val="0"/>
          <w:numId w:val="2"/>
        </w:numPr>
        <w:shd w:val="clear" w:color="auto" w:fill="FFFFFF"/>
        <w:spacing w:before="150" w:after="150"/>
        <w:ind w:leftChars="0" w:left="709" w:hanging="7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本辦法所稱進駐企業係指與本中心簽</w:t>
      </w:r>
      <w:r w:rsidR="00066C23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訂</w:t>
      </w:r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正式進駐合約之企業，企業類型如下：</w:t>
      </w:r>
    </w:p>
    <w:p w14:paraId="4AA0EA90" w14:textId="77777777" w:rsidR="00F678A2" w:rsidRDefault="00F678A2" w:rsidP="00F678A2">
      <w:pPr>
        <w:pStyle w:val="a4"/>
        <w:widowControl/>
        <w:numPr>
          <w:ilvl w:val="0"/>
          <w:numId w:val="4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一般企業：</w:t>
      </w:r>
      <w:r w:rsidR="0067517C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非屬本校師生創業團隊創辦</w:t>
      </w:r>
      <w:r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之公司。</w:t>
      </w:r>
    </w:p>
    <w:p w14:paraId="1A5368F6" w14:textId="77777777" w:rsidR="00F678A2" w:rsidRPr="00F678A2" w:rsidRDefault="00F678A2" w:rsidP="00F678A2">
      <w:pPr>
        <w:pStyle w:val="a4"/>
        <w:widowControl/>
        <w:numPr>
          <w:ilvl w:val="0"/>
          <w:numId w:val="4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師生創業團隊：係指本校教職員工生擔任負責人之團隊或企業、參加校內外創業大賽獲獎之本校師生團隊、或由本校創新育成中心推薦之本校師生團隊，</w:t>
      </w:r>
      <w:proofErr w:type="gramStart"/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且經育成</w:t>
      </w:r>
      <w:proofErr w:type="gramEnd"/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廠商進駐審查委員會議認定。</w:t>
      </w:r>
    </w:p>
    <w:p w14:paraId="0CEE6642" w14:textId="77777777" w:rsidR="00F678A2" w:rsidRPr="00F678A2" w:rsidRDefault="00F678A2" w:rsidP="00F678A2">
      <w:pPr>
        <w:pStyle w:val="a4"/>
        <w:widowControl/>
        <w:numPr>
          <w:ilvl w:val="0"/>
          <w:numId w:val="4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虛擬進駐企業:係指不需使用本校</w:t>
      </w:r>
      <w:r w:rsidR="008B60C3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獨立培育</w:t>
      </w:r>
      <w:r w:rsidRPr="00F678A2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空間之進駐企業。</w:t>
      </w:r>
    </w:p>
    <w:p w14:paraId="30D5B0FE" w14:textId="77777777" w:rsidR="00F678A2" w:rsidRPr="00F678A2" w:rsidRDefault="00F678A2" w:rsidP="00F678A2">
      <w:pPr>
        <w:pStyle w:val="a4"/>
        <w:widowControl/>
        <w:numPr>
          <w:ilvl w:val="0"/>
          <w:numId w:val="2"/>
        </w:numPr>
        <w:shd w:val="clear" w:color="auto" w:fill="FFFFFF"/>
        <w:spacing w:before="150" w:after="150"/>
        <w:ind w:leftChars="0" w:left="709" w:hanging="7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本中心進駐企業收費項目如附</w:t>
      </w:r>
      <w:r w:rsidR="0013679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表</w:t>
      </w:r>
    </w:p>
    <w:p w14:paraId="10F3D0E6" w14:textId="77777777" w:rsidR="008B60C3" w:rsidRPr="008B60C3" w:rsidRDefault="00066C23" w:rsidP="00FB430E">
      <w:pPr>
        <w:pStyle w:val="a4"/>
        <w:widowControl/>
        <w:numPr>
          <w:ilvl w:val="0"/>
          <w:numId w:val="2"/>
        </w:numPr>
        <w:shd w:val="clear" w:color="auto" w:fill="FFFFFF"/>
        <w:spacing w:before="150" w:after="150"/>
        <w:ind w:leftChars="0" w:left="709" w:hanging="7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本中心進駐企業</w:t>
      </w:r>
      <w:r w:rsidR="008B60C3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收費</w:t>
      </w:r>
      <w:r w:rsidR="00B6749D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及付款</w:t>
      </w:r>
      <w:r w:rsidR="008B60C3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方式</w:t>
      </w:r>
      <w:r w:rsidR="008B60C3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：</w:t>
      </w:r>
    </w:p>
    <w:p w14:paraId="74A1CC1C" w14:textId="77777777" w:rsidR="008B60C3" w:rsidRPr="00B6749D" w:rsidRDefault="008B60C3" w:rsidP="008B60C3">
      <w:pPr>
        <w:pStyle w:val="a4"/>
        <w:widowControl/>
        <w:numPr>
          <w:ilvl w:val="1"/>
          <w:numId w:val="6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年繳：自</w:t>
      </w:r>
      <w:r w:rsidR="00F678A2"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進駐日起算</w:t>
      </w:r>
      <w:r w:rsidR="00066C23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十五</w:t>
      </w:r>
      <w:r w:rsidR="00567CE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日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內</w:t>
      </w:r>
      <w:r w:rsidRPr="008B60C3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將款項</w:t>
      </w:r>
      <w:r w:rsidR="00B6749D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繳交至</w:t>
      </w:r>
      <w:r w:rsidRPr="008B60C3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本校指定帳戶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。</w:t>
      </w:r>
    </w:p>
    <w:p w14:paraId="7E205617" w14:textId="77777777" w:rsidR="00B6749D" w:rsidRPr="00B6749D" w:rsidRDefault="00B6749D" w:rsidP="00B6749D">
      <w:pPr>
        <w:pStyle w:val="a4"/>
        <w:widowControl/>
        <w:numPr>
          <w:ilvl w:val="1"/>
          <w:numId w:val="6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季繳：自</w:t>
      </w: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進駐日起算</w:t>
      </w:r>
      <w:r w:rsidR="00066C23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十五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日內</w:t>
      </w:r>
      <w:r w:rsidRPr="008B60C3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將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首季</w:t>
      </w:r>
      <w:r w:rsidRPr="00B6749D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款項繳交至本校指定帳戶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、並於每季(上次應繳款日起算</w:t>
      </w:r>
      <w:r w:rsidR="00066C23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三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個月後)開始</w:t>
      </w:r>
      <w:r w:rsidR="00066C23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十五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日內依約繳納款項。</w:t>
      </w:r>
    </w:p>
    <w:p w14:paraId="39939D60" w14:textId="77777777" w:rsidR="00F678A2" w:rsidRPr="00B6749D" w:rsidRDefault="00EF4767" w:rsidP="008F2259">
      <w:pPr>
        <w:pStyle w:val="a4"/>
        <w:widowControl/>
        <w:numPr>
          <w:ilvl w:val="1"/>
          <w:numId w:val="6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進駐費用</w:t>
      </w:r>
      <w:r w:rsidR="00F678A2"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逾期未繳</w:t>
      </w:r>
      <w:r w:rsidR="009F557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，</w:t>
      </w:r>
      <w:r w:rsidR="00F678A2"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經催告</w:t>
      </w:r>
      <w:r w:rsidR="00066C23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十五</w:t>
      </w:r>
      <w:r w:rsidR="008F2259" w:rsidRPr="008F2259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日</w:t>
      </w:r>
      <w:r w:rsidR="00F678A2"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仍未繳納者，依違約處理</w:t>
      </w:r>
      <w:r w:rsidR="00F678A2" w:rsidRPr="00F678A2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。</w:t>
      </w:r>
    </w:p>
    <w:p w14:paraId="6F0950CD" w14:textId="77777777" w:rsidR="00B6749D" w:rsidRPr="00B6749D" w:rsidRDefault="00B6749D" w:rsidP="00B6749D">
      <w:pPr>
        <w:pStyle w:val="a4"/>
        <w:widowControl/>
        <w:numPr>
          <w:ilvl w:val="1"/>
          <w:numId w:val="6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繳</w:t>
      </w:r>
      <w:r w:rsidR="00066C23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款種類</w:t>
      </w:r>
      <w:r w:rsidR="008E1BD5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不限於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現金、匯款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或</w:t>
      </w:r>
      <w:r w:rsidR="007A0557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即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期票據等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方式。</w:t>
      </w:r>
    </w:p>
    <w:p w14:paraId="536DBC03" w14:textId="77777777" w:rsidR="00564211" w:rsidRPr="00564211" w:rsidRDefault="00F678A2" w:rsidP="00FB430E">
      <w:pPr>
        <w:pStyle w:val="a4"/>
        <w:widowControl/>
        <w:numPr>
          <w:ilvl w:val="0"/>
          <w:numId w:val="2"/>
        </w:numPr>
        <w:shd w:val="clear" w:color="auto" w:fill="FFFFFF"/>
        <w:spacing w:before="150" w:after="150"/>
        <w:ind w:leftChars="0" w:left="709" w:hanging="7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本中心進駐企業回饋方式如下：</w:t>
      </w:r>
    </w:p>
    <w:p w14:paraId="33D29C87" w14:textId="77777777" w:rsidR="00564211" w:rsidRPr="00564211" w:rsidRDefault="00866A82" w:rsidP="00564211">
      <w:pPr>
        <w:pStyle w:val="a4"/>
        <w:widowControl/>
        <w:numPr>
          <w:ilvl w:val="1"/>
          <w:numId w:val="5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企業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於進駐期間或畢業後，經由本中心、中心轉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介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輔導教師、輔導教師轉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介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諮詢專家或顧問協助，取得政府補助、完成產品開發或獲得具體成效者，得由企業與本校協商以現金、設備、股票或股票選擇權等形式回饋本校作為回饋金</w:t>
      </w:r>
      <w:r w:rsidR="00F678A2"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。</w:t>
      </w:r>
    </w:p>
    <w:p w14:paraId="31CBADED" w14:textId="77777777" w:rsidR="00564211" w:rsidRPr="00564211" w:rsidRDefault="00F678A2" w:rsidP="00564211">
      <w:pPr>
        <w:pStyle w:val="a4"/>
        <w:widowControl/>
        <w:numPr>
          <w:ilvl w:val="1"/>
          <w:numId w:val="5"/>
        </w:numPr>
        <w:shd w:val="clear" w:color="auto" w:fill="FFFFFF"/>
        <w:spacing w:before="150" w:after="150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企業與本中心</w:t>
      </w:r>
      <w:r w:rsidR="00524ACE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有意透過產學</w:t>
      </w: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合作開發新產品或新技術者，須</w:t>
      </w:r>
      <w:r w:rsidR="00524ACE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依本校產學合作辦法簽訂產學合作案</w:t>
      </w:r>
      <w:r w:rsidR="00524ACE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；</w:t>
      </w:r>
      <w:r w:rsidR="00524ACE"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產品上市後之回饋金</w:t>
      </w:r>
      <w:r w:rsidR="00524ACE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得</w:t>
      </w: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由雙方簽訂備忘錄協議之。</w:t>
      </w:r>
    </w:p>
    <w:p w14:paraId="6DDC307E" w14:textId="77777777" w:rsidR="008E1BD5" w:rsidRPr="008E1BD5" w:rsidRDefault="00F678A2" w:rsidP="008E1BD5">
      <w:pPr>
        <w:pStyle w:val="a4"/>
        <w:widowControl/>
        <w:numPr>
          <w:ilvl w:val="0"/>
          <w:numId w:val="2"/>
        </w:numPr>
        <w:shd w:val="clear" w:color="auto" w:fill="FFFFFF"/>
        <w:spacing w:before="150" w:after="150"/>
        <w:ind w:leftChars="0" w:left="993" w:hanging="993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回饋金之分配除進駐企業自願捐贈需依捐贈者意願處理或另訂合約</w:t>
      </w:r>
      <w:r w:rsidR="002926D7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者依「</w:t>
      </w:r>
      <w:r w:rsidR="002926D7" w:rsidRPr="002926D7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國立嘉義大學受贈收入之收支管理要點</w:t>
      </w:r>
      <w:r w:rsidR="002926D7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」辦理</w:t>
      </w: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外，其餘應視其收益方式不同，而以下列方式分配之：</w:t>
      </w:r>
    </w:p>
    <w:p w14:paraId="333D31FC" w14:textId="77777777" w:rsidR="008E1BD5" w:rsidRPr="008E1BD5" w:rsidRDefault="00F678A2" w:rsidP="008E1BD5">
      <w:pPr>
        <w:pStyle w:val="a4"/>
        <w:widowControl/>
        <w:numPr>
          <w:ilvl w:val="2"/>
          <w:numId w:val="8"/>
        </w:numPr>
        <w:shd w:val="clear" w:color="auto" w:fill="FFFFFF"/>
        <w:spacing w:before="150" w:after="150"/>
        <w:ind w:leftChars="0" w:hanging="101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以現金收益者，依下列原則分配：</w:t>
      </w:r>
    </w:p>
    <w:p w14:paraId="4DB34CB7" w14:textId="77777777" w:rsidR="008E1BD5" w:rsidRPr="008E1BD5" w:rsidRDefault="00F678A2" w:rsidP="008E1BD5">
      <w:pPr>
        <w:pStyle w:val="a4"/>
        <w:widowControl/>
        <w:numPr>
          <w:ilvl w:val="0"/>
          <w:numId w:val="9"/>
        </w:numPr>
        <w:shd w:val="clear" w:color="auto" w:fill="FFFFFF"/>
        <w:spacing w:before="150" w:after="150"/>
        <w:ind w:leftChars="0" w:left="1440" w:hanging="589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校務基金</w:t>
      </w:r>
      <w:r w:rsidR="00B46461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10</w:t>
      </w: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%。</w:t>
      </w:r>
    </w:p>
    <w:p w14:paraId="7292DCD9" w14:textId="77777777" w:rsidR="008E1BD5" w:rsidRPr="008E1BD5" w:rsidRDefault="00F678A2" w:rsidP="008E1BD5">
      <w:pPr>
        <w:pStyle w:val="a4"/>
        <w:widowControl/>
        <w:numPr>
          <w:ilvl w:val="0"/>
          <w:numId w:val="9"/>
        </w:numPr>
        <w:shd w:val="clear" w:color="auto" w:fill="FFFFFF"/>
        <w:spacing w:before="150" w:after="150"/>
        <w:ind w:leftChars="0" w:left="1440" w:hanging="589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lastRenderedPageBreak/>
        <w:t>創新育成中心</w:t>
      </w:r>
      <w:r w:rsidR="00866A82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、</w:t>
      </w:r>
      <w:r w:rsidR="00866A82" w:rsidRPr="00866A82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/>
        </w:rPr>
        <w:t>輔導教師及團隊</w:t>
      </w:r>
      <w:r w:rsidR="00866A82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90%</w:t>
      </w: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，做為創新育成中心人事</w:t>
      </w:r>
      <w:r w:rsidR="008E1BD5" w:rsidRPr="00165CC5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(人事費用以不超過回饋金收入總額之50%為限)</w:t>
      </w: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及業務等相關費用之用途。</w:t>
      </w:r>
    </w:p>
    <w:p w14:paraId="072F5EE8" w14:textId="77777777" w:rsidR="008E1BD5" w:rsidRPr="008E1BD5" w:rsidRDefault="00F678A2" w:rsidP="008E1BD5">
      <w:pPr>
        <w:pStyle w:val="a4"/>
        <w:widowControl/>
        <w:numPr>
          <w:ilvl w:val="2"/>
          <w:numId w:val="8"/>
        </w:numPr>
        <w:shd w:val="clear" w:color="auto" w:fill="FFFFFF"/>
        <w:spacing w:before="150" w:after="150"/>
        <w:ind w:leftChars="0" w:hanging="101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以股權收益者，比照前款比例分配。</w:t>
      </w:r>
    </w:p>
    <w:p w14:paraId="3F589750" w14:textId="77777777" w:rsidR="00F678A2" w:rsidRPr="00F678A2" w:rsidRDefault="00F678A2" w:rsidP="008E1BD5">
      <w:pPr>
        <w:pStyle w:val="a4"/>
        <w:widowControl/>
        <w:numPr>
          <w:ilvl w:val="2"/>
          <w:numId w:val="8"/>
        </w:numPr>
        <w:shd w:val="clear" w:color="auto" w:fill="FFFFFF"/>
        <w:spacing w:before="150" w:after="150"/>
        <w:ind w:leftChars="0" w:hanging="1014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以實驗設備或產品收益者，依個案處理之。</w:t>
      </w:r>
    </w:p>
    <w:p w14:paraId="44B1B845" w14:textId="77777777" w:rsidR="00F678A2" w:rsidRPr="00F678A2" w:rsidRDefault="00B6749D" w:rsidP="00F678A2">
      <w:pPr>
        <w:pStyle w:val="a4"/>
        <w:widowControl/>
        <w:numPr>
          <w:ilvl w:val="0"/>
          <w:numId w:val="2"/>
        </w:numPr>
        <w:shd w:val="clear" w:color="auto" w:fill="FFFFFF"/>
        <w:spacing w:before="150" w:after="150"/>
        <w:ind w:leftChars="0" w:left="709" w:hanging="720"/>
        <w:jc w:val="both"/>
        <w:rPr>
          <w:rFonts w:ascii="標楷體" w:eastAsia="標楷體" w:hAnsi="標楷體" w:cs="新細明體"/>
          <w:color w:val="666666"/>
          <w:kern w:val="0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本辦法經行政會議通過，陳請校長核定後實施</w:t>
      </w:r>
      <w:r w:rsidR="00F678A2" w:rsidRPr="00F678A2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。</w:t>
      </w:r>
    </w:p>
    <w:p w14:paraId="70F71198" w14:textId="77777777" w:rsidR="00F678A2" w:rsidRPr="00B46461" w:rsidRDefault="00136790" w:rsidP="00564211">
      <w:pPr>
        <w:widowControl/>
        <w:shd w:val="clear" w:color="auto" w:fill="FFFFFF"/>
        <w:spacing w:before="150" w:after="150"/>
        <w:ind w:left="-11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附表</w:t>
      </w:r>
      <w:r w:rsidR="00F678A2" w:rsidRPr="00B4646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  國立</w:t>
      </w:r>
      <w:r w:rsidR="008B60C3" w:rsidRPr="00B4646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嘉義</w:t>
      </w:r>
      <w:r w:rsidR="00F678A2" w:rsidRPr="00B4646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大學進駐企業收費項目表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515"/>
        <w:gridCol w:w="1535"/>
        <w:gridCol w:w="1649"/>
        <w:gridCol w:w="246"/>
        <w:gridCol w:w="1514"/>
        <w:gridCol w:w="1916"/>
      </w:tblGrid>
      <w:tr w:rsidR="00A74ECE" w:rsidRPr="00F678A2" w14:paraId="6D0656B0" w14:textId="77777777" w:rsidTr="005071C8">
        <w:trPr>
          <w:trHeight w:val="600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EEF3" w14:textId="77777777" w:rsidR="00A74ECE" w:rsidRPr="00F678A2" w:rsidRDefault="00A74ECE" w:rsidP="0067517C">
            <w:pPr>
              <w:widowControl/>
              <w:spacing w:before="150" w:after="15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678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項目</w:t>
            </w:r>
          </w:p>
        </w:tc>
        <w:tc>
          <w:tcPr>
            <w:tcW w:w="4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CE80" w14:textId="77777777" w:rsidR="00A74ECE" w:rsidRPr="00F678A2" w:rsidRDefault="00A74ECE" w:rsidP="00A74ECE">
            <w:pPr>
              <w:spacing w:before="150" w:after="15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B464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實質進駐</w:t>
            </w:r>
          </w:p>
        </w:tc>
        <w:tc>
          <w:tcPr>
            <w:tcW w:w="3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C7BF65" w14:textId="77777777" w:rsidR="00A74ECE" w:rsidRPr="00F678A2" w:rsidRDefault="00A74ECE" w:rsidP="00A74ECE">
            <w:pPr>
              <w:widowControl/>
              <w:spacing w:before="150" w:after="15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678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虛擬進駐</w:t>
            </w:r>
          </w:p>
        </w:tc>
      </w:tr>
      <w:tr w:rsidR="00A74ECE" w:rsidRPr="00F678A2" w14:paraId="45284A4D" w14:textId="77777777" w:rsidTr="005071C8">
        <w:trPr>
          <w:trHeight w:val="600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88557" w14:textId="77777777" w:rsidR="00A74ECE" w:rsidRPr="00F678A2" w:rsidRDefault="00A74ECE" w:rsidP="0067517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278F" w14:textId="77777777" w:rsidR="00A74ECE" w:rsidRPr="00F678A2" w:rsidRDefault="00A74ECE" w:rsidP="00CD7CDF">
            <w:pPr>
              <w:widowControl/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678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一般企業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6155" w14:textId="77777777" w:rsidR="00A74ECE" w:rsidRPr="00F678A2" w:rsidRDefault="00A74ECE" w:rsidP="00F678A2">
            <w:pPr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678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師生創業團隊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D4BF31" w14:textId="77777777" w:rsidR="00A74ECE" w:rsidRPr="00F678A2" w:rsidRDefault="00A74ECE" w:rsidP="00CD7CDF">
            <w:pPr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678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一般企業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76EF4" w14:textId="77777777" w:rsidR="00A74ECE" w:rsidRPr="00F678A2" w:rsidRDefault="0062369E" w:rsidP="00F678A2">
            <w:pPr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678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師生創業團隊</w:t>
            </w:r>
          </w:p>
        </w:tc>
      </w:tr>
      <w:tr w:rsidR="00B21E0B" w:rsidRPr="00B46461" w14:paraId="0F11368B" w14:textId="77777777" w:rsidTr="005071C8">
        <w:trPr>
          <w:trHeight w:val="1140"/>
        </w:trPr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746A3" w14:textId="77777777" w:rsidR="00B21E0B" w:rsidRPr="00F678A2" w:rsidRDefault="00B21E0B" w:rsidP="0067517C">
            <w:pPr>
              <w:widowControl/>
              <w:spacing w:before="150" w:after="15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B464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進駐費</w:t>
            </w:r>
          </w:p>
        </w:tc>
        <w:tc>
          <w:tcPr>
            <w:tcW w:w="469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79FC" w14:textId="7A8B9928" w:rsidR="00B21E0B" w:rsidRPr="00F678A2" w:rsidRDefault="00B21E0B" w:rsidP="00A74ECE">
            <w:pPr>
              <w:widowControl/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B464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進駐費</w:t>
            </w:r>
            <w:r w:rsidRPr="00B46461">
              <w:rPr>
                <w:rFonts w:ascii="標楷體" w:eastAsia="標楷體" w:hAnsi="標楷體" w:hint="eastAsia"/>
                <w:color w:val="000000" w:themeColor="text1"/>
                <w:sz w:val="28"/>
              </w:rPr>
              <w:t>依空間大小調整費用，</w:t>
            </w:r>
            <w:r w:rsidRPr="00B464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每坪每月</w:t>
            </w:r>
            <w:r w:rsidR="00F41E5C" w:rsidRPr="00F41E5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:u w:val="single"/>
              </w:rPr>
              <w:t>65</w:t>
            </w:r>
            <w:r w:rsidRPr="00F41E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u w:val="single"/>
              </w:rPr>
              <w:t>0</w:t>
            </w:r>
            <w:r w:rsidRPr="00B4646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元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38AE6" w14:textId="77777777" w:rsidR="00B21E0B" w:rsidRPr="00F678A2" w:rsidRDefault="00B21E0B" w:rsidP="00A74ECE">
            <w:pPr>
              <w:widowControl/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B46461">
              <w:rPr>
                <w:rFonts w:ascii="標楷體" w:eastAsia="標楷體" w:hAnsi="標楷體" w:hint="eastAsia"/>
                <w:color w:val="000000" w:themeColor="text1"/>
                <w:sz w:val="28"/>
              </w:rPr>
              <w:t>30,000元/年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3E92" w14:textId="77777777" w:rsidR="00B21E0B" w:rsidRPr="00F678A2" w:rsidRDefault="00B21E0B" w:rsidP="00F678A2">
            <w:pPr>
              <w:widowControl/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7</w:t>
            </w:r>
            <w:r w:rsidRPr="00B46461">
              <w:rPr>
                <w:rFonts w:ascii="標楷體" w:eastAsia="標楷體" w:hAnsi="標楷體" w:hint="eastAsia"/>
                <w:color w:val="000000" w:themeColor="text1"/>
                <w:sz w:val="28"/>
              </w:rPr>
              <w:t>,000元/年</w:t>
            </w:r>
          </w:p>
        </w:tc>
      </w:tr>
      <w:tr w:rsidR="0067517C" w:rsidRPr="00F678A2" w14:paraId="35C50616" w14:textId="77777777" w:rsidTr="005071C8">
        <w:trPr>
          <w:trHeight w:val="619"/>
        </w:trPr>
        <w:tc>
          <w:tcPr>
            <w:tcW w:w="13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2915" w14:textId="77777777" w:rsidR="0067517C" w:rsidRPr="00F678A2" w:rsidRDefault="0067517C" w:rsidP="0067517C">
            <w:pPr>
              <w:widowControl/>
              <w:spacing w:before="150" w:after="15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678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保證金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DDC3" w14:textId="77777777" w:rsidR="0067517C" w:rsidRPr="00F678A2" w:rsidRDefault="0067517C" w:rsidP="00F678A2">
            <w:pPr>
              <w:widowControl/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 w:rsidRPr="00F678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個月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進駐費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5CD7" w14:textId="77777777" w:rsidR="0067517C" w:rsidRPr="00F678A2" w:rsidRDefault="0067517C" w:rsidP="00F678A2">
            <w:pPr>
              <w:widowControl/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3,000元整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F081EB" w14:textId="77777777" w:rsidR="0067517C" w:rsidRPr="00F678A2" w:rsidRDefault="0067517C" w:rsidP="00A74ECE">
            <w:pPr>
              <w:widowControl/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D7BB" w14:textId="77777777" w:rsidR="0067517C" w:rsidRPr="00F678A2" w:rsidRDefault="0067517C" w:rsidP="00F678A2">
            <w:pPr>
              <w:widowControl/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678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</w:tr>
      <w:tr w:rsidR="0067517C" w:rsidRPr="00F678A2" w14:paraId="0EB2F3DF" w14:textId="77777777" w:rsidTr="005071C8">
        <w:trPr>
          <w:trHeight w:val="619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5C39" w14:textId="77777777" w:rsidR="0067517C" w:rsidRPr="00F678A2" w:rsidRDefault="0067517C" w:rsidP="0067517C">
            <w:pPr>
              <w:widowControl/>
              <w:spacing w:before="150" w:after="15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375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D590" w14:textId="77777777" w:rsidR="0067517C" w:rsidRPr="00F41E5C" w:rsidRDefault="0067517C" w:rsidP="008E1BD5">
            <w:pPr>
              <w:widowControl/>
              <w:spacing w:before="150" w:after="15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41E5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除有違反本校育成進駐合約情形外，本保證金應於進駐期屆滿或進駐契約終止後，進駐企業交還培育室時</w:t>
            </w:r>
            <w:proofErr w:type="gramStart"/>
            <w:r w:rsidRPr="00F41E5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無息返還</w:t>
            </w:r>
            <w:proofErr w:type="gramEnd"/>
            <w:r w:rsidRPr="00F41E5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之。</w:t>
            </w:r>
          </w:p>
        </w:tc>
      </w:tr>
      <w:tr w:rsidR="005071C8" w:rsidRPr="00F678A2" w14:paraId="11CC6CF4" w14:textId="6B47A156" w:rsidTr="005071C8">
        <w:trPr>
          <w:trHeight w:val="470"/>
        </w:trPr>
        <w:tc>
          <w:tcPr>
            <w:tcW w:w="139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7049" w14:textId="7E1A0F02" w:rsidR="005071C8" w:rsidRPr="00CE4232" w:rsidRDefault="005071C8" w:rsidP="005071C8">
            <w:pPr>
              <w:widowControl/>
              <w:spacing w:before="150" w:after="15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bookmarkStart w:id="0" w:name="_GoBack" w:colFirst="0" w:colLast="2"/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育成公用活動空間使用收費標準：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9A5A" w14:textId="276CFA61" w:rsidR="005071C8" w:rsidRPr="00CE4232" w:rsidRDefault="005071C8" w:rsidP="005071C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收費標準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4CB2" w14:textId="27BFF921" w:rsidR="005071C8" w:rsidRPr="00CE4232" w:rsidRDefault="005071C8" w:rsidP="005071C8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K</w:t>
            </w:r>
            <w:r w:rsidR="006F61D4"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-</w:t>
            </w: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104(夢基地)</w:t>
            </w:r>
            <w:r w:rsidR="00544B9B"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(共49坪)</w:t>
            </w:r>
          </w:p>
        </w:tc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054F83" w14:textId="209F1D7E" w:rsidR="005071C8" w:rsidRPr="00CE4232" w:rsidRDefault="006F61D4" w:rsidP="006F61D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K-105</w:t>
            </w: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</w:t>
            </w:r>
            <w:r w:rsidR="005071C8"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創業找Bar</w:t>
            </w: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  <w:r w:rsidR="00544B9B"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(共77坪)</w:t>
            </w:r>
          </w:p>
        </w:tc>
      </w:tr>
      <w:tr w:rsidR="005071C8" w:rsidRPr="00F678A2" w14:paraId="27F552B4" w14:textId="6727A3DC" w:rsidTr="005071C8">
        <w:trPr>
          <w:trHeight w:val="64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334A" w14:textId="77777777" w:rsidR="005071C8" w:rsidRPr="00CE4232" w:rsidRDefault="005071C8" w:rsidP="005071C8">
            <w:pPr>
              <w:widowControl/>
              <w:spacing w:before="150" w:after="15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3229" w14:textId="77777777" w:rsidR="005071C8" w:rsidRPr="00CE4232" w:rsidRDefault="005071C8" w:rsidP="005071C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校內單位：</w:t>
            </w:r>
          </w:p>
          <w:p w14:paraId="47FF4B37" w14:textId="43431E4E" w:rsidR="005071C8" w:rsidRPr="00CE4232" w:rsidRDefault="005071C8" w:rsidP="005071C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校外單位：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D1C6" w14:textId="0ECE5A2A" w:rsidR="005071C8" w:rsidRPr="00CE4232" w:rsidRDefault="005071C8" w:rsidP="005071C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1500/日</w:t>
            </w:r>
            <w:r w:rsidRPr="00CE423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3000/日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C60F47" w14:textId="026E70A7" w:rsidR="005071C8" w:rsidRPr="00CE4232" w:rsidRDefault="005071C8" w:rsidP="005071C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2500/日</w:t>
            </w:r>
            <w:r w:rsidRPr="00CE423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br/>
            </w: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5000/日</w:t>
            </w:r>
          </w:p>
        </w:tc>
      </w:tr>
      <w:tr w:rsidR="00F41E5C" w:rsidRPr="00F678A2" w14:paraId="62CE036B" w14:textId="77777777" w:rsidTr="005071C8">
        <w:trPr>
          <w:trHeight w:val="193"/>
        </w:trPr>
        <w:tc>
          <w:tcPr>
            <w:tcW w:w="13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60883" w14:textId="77777777" w:rsidR="00F41E5C" w:rsidRPr="00CE4232" w:rsidRDefault="00F41E5C" w:rsidP="00F41E5C">
            <w:pPr>
              <w:widowControl/>
              <w:spacing w:before="150" w:after="15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71D0" w14:textId="1D14FB35" w:rsidR="00F41E5C" w:rsidRPr="00CE4232" w:rsidRDefault="00F41E5C" w:rsidP="00F41E5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附注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255379" w14:textId="31FFED99" w:rsidR="00F41E5C" w:rsidRPr="00CE4232" w:rsidRDefault="00F41E5C" w:rsidP="00F41E5C">
            <w:pPr>
              <w:pStyle w:val="a4"/>
              <w:widowControl/>
              <w:numPr>
                <w:ilvl w:val="2"/>
                <w:numId w:val="5"/>
              </w:numPr>
              <w:spacing w:line="300" w:lineRule="exact"/>
              <w:ind w:leftChars="17" w:left="400" w:hangingChars="138" w:hanging="359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借用單位可於活動前半日向管理單位申請場地布置使用。</w:t>
            </w:r>
          </w:p>
          <w:p w14:paraId="67050F22" w14:textId="157E2C1D" w:rsidR="00F41E5C" w:rsidRPr="00CE4232" w:rsidRDefault="00F41E5C" w:rsidP="00F41E5C">
            <w:pPr>
              <w:pStyle w:val="a4"/>
              <w:widowControl/>
              <w:numPr>
                <w:ilvl w:val="2"/>
                <w:numId w:val="5"/>
              </w:numPr>
              <w:spacing w:line="300" w:lineRule="exact"/>
              <w:ind w:leftChars="17" w:left="400" w:hangingChars="138" w:hanging="359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校內單位</w:t>
            </w:r>
            <w:r w:rsidR="00BA26EB"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(含進駐企業)</w:t>
            </w: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與管理單位共同主辦之活動或專案奉校長</w:t>
            </w:r>
            <w:proofErr w:type="gramStart"/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簽准者得</w:t>
            </w:r>
            <w:proofErr w:type="gramEnd"/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免</w:t>
            </w:r>
            <w:proofErr w:type="gramStart"/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予收</w:t>
            </w:r>
            <w:proofErr w:type="gramEnd"/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費</w:t>
            </w:r>
            <w:r w:rsidR="00F30554"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單獨辦理活動</w:t>
            </w: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14:paraId="180853D7" w14:textId="77777777" w:rsidR="00F41E5C" w:rsidRPr="00CE4232" w:rsidRDefault="00F41E5C" w:rsidP="00F41E5C">
            <w:pPr>
              <w:pStyle w:val="a4"/>
              <w:widowControl/>
              <w:numPr>
                <w:ilvl w:val="2"/>
                <w:numId w:val="5"/>
              </w:numPr>
              <w:spacing w:line="300" w:lineRule="exact"/>
              <w:ind w:leftChars="17" w:left="400" w:hangingChars="138" w:hanging="359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本校進駐企業得比照校內單位收費。</w:t>
            </w:r>
          </w:p>
          <w:p w14:paraId="33D07C72" w14:textId="77777777" w:rsidR="00F41E5C" w:rsidRPr="00CE4232" w:rsidRDefault="00F41E5C" w:rsidP="00F41E5C">
            <w:pPr>
              <w:pStyle w:val="a4"/>
              <w:widowControl/>
              <w:numPr>
                <w:ilvl w:val="2"/>
                <w:numId w:val="5"/>
              </w:numPr>
              <w:spacing w:line="300" w:lineRule="exact"/>
              <w:ind w:leftChars="17" w:left="400" w:hangingChars="138" w:hanging="359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申請者</w:t>
            </w:r>
            <w:proofErr w:type="gramStart"/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應填俱</w:t>
            </w:r>
            <w:r w:rsidR="00C70CC0"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活動</w:t>
            </w:r>
            <w:proofErr w:type="gramEnd"/>
            <w:r w:rsidR="00C70CC0"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空間申請表於至少1</w:t>
            </w:r>
            <w:proofErr w:type="gramStart"/>
            <w:r w:rsidR="00C70CC0"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週</w:t>
            </w:r>
            <w:proofErr w:type="gramEnd"/>
            <w:r w:rsidR="00C70CC0"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前向管理單位登記使用空間。</w:t>
            </w:r>
          </w:p>
          <w:p w14:paraId="31353F66" w14:textId="25084045" w:rsidR="00C70CC0" w:rsidRPr="00CE4232" w:rsidRDefault="00C70CC0" w:rsidP="00F41E5C">
            <w:pPr>
              <w:pStyle w:val="a4"/>
              <w:widowControl/>
              <w:numPr>
                <w:ilvl w:val="2"/>
                <w:numId w:val="5"/>
              </w:numPr>
              <w:spacing w:line="300" w:lineRule="exact"/>
              <w:ind w:leftChars="17" w:left="400" w:hangingChars="138" w:hanging="359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E423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若活動於非平常上班時間辦理，衍生之人員費用應由使用單位負擔。</w:t>
            </w:r>
          </w:p>
        </w:tc>
      </w:tr>
      <w:bookmarkEnd w:id="0"/>
      <w:tr w:rsidR="00F41E5C" w:rsidRPr="00A74ECE" w14:paraId="20FEAC9D" w14:textId="77777777" w:rsidTr="005071C8">
        <w:trPr>
          <w:trHeight w:val="1194"/>
        </w:trPr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25D8D" w14:textId="77777777" w:rsidR="00F41E5C" w:rsidRPr="005071C8" w:rsidRDefault="00F41E5C" w:rsidP="00F41E5C">
            <w:pPr>
              <w:spacing w:before="150" w:after="15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5071C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非育成</w:t>
            </w:r>
            <w:proofErr w:type="gramEnd"/>
            <w:r w:rsidRPr="005071C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公共空間租用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8BCA" w14:textId="76D22C2B" w:rsidR="00F41E5C" w:rsidRPr="00F678A2" w:rsidRDefault="00F41E5C" w:rsidP="00F41E5C">
            <w:pPr>
              <w:spacing w:before="150" w:after="15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本校進駐廠商借用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本校非育成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公共空間</w:t>
            </w:r>
            <w:r w:rsidR="005071C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用依「</w:t>
            </w:r>
            <w:r w:rsidRPr="00FB3D4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國立嘉義大學場地提供使用收費標準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」辦理。</w:t>
            </w:r>
          </w:p>
        </w:tc>
      </w:tr>
      <w:tr w:rsidR="00F41E5C" w:rsidRPr="00A74ECE" w14:paraId="2AA21F55" w14:textId="77777777" w:rsidTr="005071C8">
        <w:trPr>
          <w:trHeight w:val="83"/>
        </w:trPr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C08D" w14:textId="1E65F685" w:rsidR="00F41E5C" w:rsidRDefault="00F41E5C" w:rsidP="00F41E5C">
            <w:pPr>
              <w:spacing w:before="150" w:after="15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輔導諮詢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BFEF" w14:textId="1692BBF5" w:rsidR="00F41E5C" w:rsidRPr="0062369E" w:rsidRDefault="00F30554" w:rsidP="00F30554">
            <w:pPr>
              <w:pStyle w:val="a4"/>
              <w:numPr>
                <w:ilvl w:val="0"/>
                <w:numId w:val="11"/>
              </w:numPr>
              <w:spacing w:before="150" w:after="150"/>
              <w:ind w:leftChars="13" w:left="391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進駐企業可</w:t>
            </w:r>
            <w:r w:rsidR="00F41E5C" w:rsidRPr="006236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經由本校育成中心媒合輔導業師進行專案輔導。</w:t>
            </w:r>
          </w:p>
          <w:p w14:paraId="336AFE14" w14:textId="4B15E698" w:rsidR="00F41E5C" w:rsidRPr="00CD7CDF" w:rsidRDefault="00F41E5C" w:rsidP="00F30554">
            <w:pPr>
              <w:pStyle w:val="a4"/>
              <w:numPr>
                <w:ilvl w:val="0"/>
                <w:numId w:val="11"/>
              </w:numPr>
              <w:spacing w:before="150" w:after="150"/>
              <w:ind w:leftChars="13" w:left="391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由</w:t>
            </w:r>
            <w:r w:rsidRPr="006236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本校育成中心補助進駐企業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之</w:t>
            </w:r>
            <w:r w:rsidRPr="006236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輔導諮詢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每月以</w:t>
            </w:r>
            <w:r w:rsidR="00F305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次為限，超出額度之諮詢費用</w:t>
            </w:r>
            <w:r w:rsidR="005071C8" w:rsidRPr="006255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="005071C8" w:rsidRPr="006255B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2000元/次</w:t>
            </w:r>
            <w:r w:rsidR="005071C8" w:rsidRPr="006255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，由本校育成中心依</w:t>
            </w:r>
            <w:r w:rsidRPr="005071C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實際諮詢次數向進駐企業收取(若經專案簽准或搭配其他計畫者則依核准或計畫內容辦理)</w:t>
            </w:r>
            <w:r w:rsidRPr="006236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</w:tc>
      </w:tr>
      <w:tr w:rsidR="00F41E5C" w:rsidRPr="00F678A2" w14:paraId="35F616D9" w14:textId="77777777" w:rsidTr="005071C8">
        <w:trPr>
          <w:trHeight w:val="629"/>
        </w:trPr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C018" w14:textId="77777777" w:rsidR="00F41E5C" w:rsidRPr="00F678A2" w:rsidRDefault="00F41E5C" w:rsidP="00F41E5C">
            <w:pPr>
              <w:widowControl/>
              <w:spacing w:before="150" w:after="15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lastRenderedPageBreak/>
              <w:t>停車費</w:t>
            </w:r>
          </w:p>
        </w:tc>
        <w:tc>
          <w:tcPr>
            <w:tcW w:w="8375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25C0" w14:textId="77777777" w:rsidR="00F41E5C" w:rsidRPr="00FB3D47" w:rsidRDefault="00F41E5C" w:rsidP="00F41E5C">
            <w:pPr>
              <w:pStyle w:val="a4"/>
              <w:widowControl/>
              <w:numPr>
                <w:ilvl w:val="0"/>
                <w:numId w:val="7"/>
              </w:numPr>
              <w:spacing w:before="150" w:after="150"/>
              <w:ind w:leftChars="0" w:left="459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B3D4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本校</w:t>
            </w:r>
            <w:proofErr w:type="gramStart"/>
            <w:r w:rsidRPr="00FB3D4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校</w:t>
            </w:r>
            <w:proofErr w:type="gramEnd"/>
            <w:r w:rsidRPr="00FB3D4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區內車輛停放及行駛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皆</w:t>
            </w:r>
            <w:r w:rsidRPr="00FB3D4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依「國立嘉義大學車輛管理辦法」辦理。</w:t>
            </w:r>
          </w:p>
          <w:p w14:paraId="44CADFBC" w14:textId="77777777" w:rsidR="00F41E5C" w:rsidRPr="00FB3D47" w:rsidRDefault="00F41E5C" w:rsidP="00F41E5C">
            <w:pPr>
              <w:pStyle w:val="a4"/>
              <w:widowControl/>
              <w:numPr>
                <w:ilvl w:val="0"/>
                <w:numId w:val="7"/>
              </w:numPr>
              <w:spacing w:before="150" w:after="150"/>
              <w:ind w:leftChars="0" w:left="459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本校進駐廠商停車依「</w:t>
            </w:r>
            <w:r w:rsidRPr="00FB3D4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國立嘉義大學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停車</w:t>
            </w:r>
            <w:r w:rsidRPr="00FB3D4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場地維護費收費標準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」收費，並比照</w:t>
            </w:r>
            <w:r w:rsidRPr="00C70C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校內教職員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收費標準辦理</w:t>
            </w:r>
            <w:r w:rsidRPr="00FB3D4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</w:tc>
      </w:tr>
    </w:tbl>
    <w:p w14:paraId="3CD75DB8" w14:textId="53B67683" w:rsidR="00B46461" w:rsidRDefault="00A61B33" w:rsidP="000D408F">
      <w:pPr>
        <w:widowControl/>
        <w:shd w:val="clear" w:color="auto" w:fill="FFFFFF"/>
        <w:spacing w:before="150" w:after="150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41715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備</w:t>
      </w:r>
      <w:r w:rsidR="00F678A2" w:rsidRPr="0041715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註</w:t>
      </w:r>
      <w:r w:rsidR="00F678A2" w:rsidRPr="00F678A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：</w:t>
      </w:r>
    </w:p>
    <w:p w14:paraId="2D334259" w14:textId="1C3436B1" w:rsidR="00E7074F" w:rsidRPr="005071C8" w:rsidRDefault="00E7074F" w:rsidP="00E7074F">
      <w:pPr>
        <w:widowControl/>
        <w:shd w:val="clear" w:color="auto" w:fill="FFFFFF"/>
        <w:ind w:left="424" w:hangingChars="163" w:hanging="42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1. </w:t>
      </w:r>
      <w:r w:rsidR="00D35ED6" w:rsidRPr="00D35ED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本校</w:t>
      </w:r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育成中心提供進駐廠商不需額外收費之基本行政服務、門禁管理、校園網路、培育室水電、基本辦公設備與育成會議空間(</w:t>
      </w:r>
      <w:proofErr w:type="gramStart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採</w:t>
      </w:r>
      <w:proofErr w:type="gramEnd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預約制)；</w:t>
      </w:r>
      <w:proofErr w:type="gramStart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惟</w:t>
      </w:r>
      <w:proofErr w:type="gramEnd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冷氣費用</w:t>
      </w:r>
      <w:proofErr w:type="gramStart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採</w:t>
      </w:r>
      <w:proofErr w:type="gramEnd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電子式IC</w:t>
      </w:r>
      <w:proofErr w:type="gramStart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卡儲值</w:t>
      </w:r>
      <w:proofErr w:type="gramEnd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計費制，由進駐</w:t>
      </w:r>
      <w:proofErr w:type="gramStart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企業至育成</w:t>
      </w:r>
      <w:proofErr w:type="gramEnd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中心</w:t>
      </w:r>
      <w:proofErr w:type="gramStart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儲值後核發</w:t>
      </w:r>
      <w:proofErr w:type="gramEnd"/>
      <w:r w:rsidR="00D35ED6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時數。</w:t>
      </w:r>
    </w:p>
    <w:p w14:paraId="5E974EA8" w14:textId="6DB15FA4" w:rsidR="000C6888" w:rsidRPr="000C6888" w:rsidRDefault="00F678A2" w:rsidP="000C6888">
      <w:pPr>
        <w:widowControl/>
        <w:shd w:val="clear" w:color="auto" w:fill="FFFFFF"/>
        <w:ind w:left="424" w:hangingChars="163" w:hanging="42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5071C8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2. 進駐企業如需使用學校大型會議室或其他設備時，請向創新育成中心預約</w:t>
      </w:r>
      <w:r w:rsidR="0067517C"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，並由本校育成中心協助向該場地業管單位登記借用之</w:t>
      </w:r>
      <w:r w:rsidRPr="005071C8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，其收費標準及管理辦法依本校規定辦理。</w:t>
      </w:r>
    </w:p>
    <w:p w14:paraId="66B8CDCC" w14:textId="336C7C64" w:rsidR="00F678A2" w:rsidRDefault="00F678A2" w:rsidP="00B46461">
      <w:pPr>
        <w:widowControl/>
        <w:shd w:val="clear" w:color="auto" w:fill="FFFFFF"/>
        <w:ind w:left="424" w:hangingChars="163" w:hanging="42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5071C8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3. </w:t>
      </w:r>
      <w:r w:rsidR="000C688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本要點收取之育成服務費用、冷氣、場地使用費等以電匯(匯款戶名國立嘉義大學402專戶)為原則。</w:t>
      </w:r>
    </w:p>
    <w:p w14:paraId="7D3568FD" w14:textId="11823F3C" w:rsidR="000C6888" w:rsidRDefault="000C6888" w:rsidP="00B46461">
      <w:pPr>
        <w:widowControl/>
        <w:shd w:val="clear" w:color="auto" w:fill="FFFFFF"/>
        <w:ind w:left="424" w:hangingChars="163" w:hanging="424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4.</w:t>
      </w:r>
      <w:r w:rsidRPr="000C688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Pr="005071C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廠商進駐</w:t>
      </w:r>
      <w:r w:rsidRPr="005071C8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專案合作費另案洽談</w:t>
      </w:r>
      <w:r w:rsidRPr="00F678A2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。</w:t>
      </w:r>
    </w:p>
    <w:sectPr w:rsidR="000C6888" w:rsidSect="00447AE3">
      <w:pgSz w:w="11907" w:h="16840" w:code="9"/>
      <w:pgMar w:top="1225" w:right="851" w:bottom="1213" w:left="1486" w:header="851" w:footer="56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F0316" w14:textId="77777777" w:rsidR="00AB77A0" w:rsidRDefault="00AB77A0" w:rsidP="00FB3D47">
      <w:r>
        <w:separator/>
      </w:r>
    </w:p>
  </w:endnote>
  <w:endnote w:type="continuationSeparator" w:id="0">
    <w:p w14:paraId="2E296B41" w14:textId="77777777" w:rsidR="00AB77A0" w:rsidRDefault="00AB77A0" w:rsidP="00FB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F364F" w14:textId="77777777" w:rsidR="00AB77A0" w:rsidRDefault="00AB77A0" w:rsidP="00FB3D47">
      <w:r>
        <w:separator/>
      </w:r>
    </w:p>
  </w:footnote>
  <w:footnote w:type="continuationSeparator" w:id="0">
    <w:p w14:paraId="6DE3FE57" w14:textId="77777777" w:rsidR="00AB77A0" w:rsidRDefault="00AB77A0" w:rsidP="00FB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36CF"/>
    <w:multiLevelType w:val="hybridMultilevel"/>
    <w:tmpl w:val="3BB4E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AC66DC0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9789E"/>
    <w:multiLevelType w:val="hybridMultilevel"/>
    <w:tmpl w:val="FF04DE4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eastAsia"/>
        <w:sz w:val="27"/>
      </w:rPr>
    </w:lvl>
    <w:lvl w:ilvl="2" w:tplc="34ECB60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93CE6"/>
    <w:multiLevelType w:val="hybridMultilevel"/>
    <w:tmpl w:val="45BA4892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1AC66DC0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F650F"/>
    <w:multiLevelType w:val="hybridMultilevel"/>
    <w:tmpl w:val="8042D426"/>
    <w:lvl w:ilvl="0" w:tplc="34ECB6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30F00"/>
    <w:multiLevelType w:val="hybridMultilevel"/>
    <w:tmpl w:val="621E9E52"/>
    <w:lvl w:ilvl="0" w:tplc="34ECB6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E36C70"/>
    <w:multiLevelType w:val="hybridMultilevel"/>
    <w:tmpl w:val="EB76D02A"/>
    <w:lvl w:ilvl="0" w:tplc="3E96630C">
      <w:start w:val="1"/>
      <w:numFmt w:val="taiwaneseCountingThousand"/>
      <w:lvlText w:val="第%1條"/>
      <w:lvlJc w:val="left"/>
      <w:pPr>
        <w:ind w:left="906" w:hanging="480"/>
      </w:pPr>
      <w:rPr>
        <w:rFonts w:ascii="標楷體" w:eastAsia="標楷體" w:hAnsi="標楷體" w:hint="eastAsia"/>
        <w:sz w:val="27"/>
      </w:rPr>
    </w:lvl>
    <w:lvl w:ilvl="1" w:tplc="3E96630C">
      <w:start w:val="1"/>
      <w:numFmt w:val="taiwaneseCountingThousand"/>
      <w:lvlText w:val="第%2條"/>
      <w:lvlJc w:val="left"/>
      <w:pPr>
        <w:ind w:left="1200" w:hanging="720"/>
      </w:pPr>
      <w:rPr>
        <w:rFonts w:ascii="標楷體" w:eastAsia="標楷體" w:hAnsi="標楷體" w:hint="eastAsia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0978DD"/>
    <w:multiLevelType w:val="hybridMultilevel"/>
    <w:tmpl w:val="F45027B0"/>
    <w:lvl w:ilvl="0" w:tplc="0CE886C0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C85511F"/>
    <w:multiLevelType w:val="hybridMultilevel"/>
    <w:tmpl w:val="4E4C301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eastAsia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D5152E"/>
    <w:multiLevelType w:val="hybridMultilevel"/>
    <w:tmpl w:val="609218E2"/>
    <w:lvl w:ilvl="0" w:tplc="89CCFB5E">
      <w:start w:val="1"/>
      <w:numFmt w:val="decimal"/>
      <w:lvlText w:val="(%1)"/>
      <w:lvlJc w:val="left"/>
      <w:pPr>
        <w:ind w:left="9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9" w:hanging="480"/>
      </w:pPr>
    </w:lvl>
    <w:lvl w:ilvl="2" w:tplc="0409001B" w:tentative="1">
      <w:start w:val="1"/>
      <w:numFmt w:val="lowerRoman"/>
      <w:lvlText w:val="%3."/>
      <w:lvlJc w:val="right"/>
      <w:pPr>
        <w:ind w:left="1909" w:hanging="480"/>
      </w:pPr>
    </w:lvl>
    <w:lvl w:ilvl="3" w:tplc="0409000F" w:tentative="1">
      <w:start w:val="1"/>
      <w:numFmt w:val="decimal"/>
      <w:lvlText w:val="%4."/>
      <w:lvlJc w:val="left"/>
      <w:pPr>
        <w:ind w:left="2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9" w:hanging="480"/>
      </w:pPr>
    </w:lvl>
    <w:lvl w:ilvl="5" w:tplc="0409001B" w:tentative="1">
      <w:start w:val="1"/>
      <w:numFmt w:val="lowerRoman"/>
      <w:lvlText w:val="%6."/>
      <w:lvlJc w:val="right"/>
      <w:pPr>
        <w:ind w:left="3349" w:hanging="480"/>
      </w:pPr>
    </w:lvl>
    <w:lvl w:ilvl="6" w:tplc="0409000F" w:tentative="1">
      <w:start w:val="1"/>
      <w:numFmt w:val="decimal"/>
      <w:lvlText w:val="%7."/>
      <w:lvlJc w:val="left"/>
      <w:pPr>
        <w:ind w:left="3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9" w:hanging="480"/>
      </w:pPr>
    </w:lvl>
    <w:lvl w:ilvl="8" w:tplc="0409001B" w:tentative="1">
      <w:start w:val="1"/>
      <w:numFmt w:val="lowerRoman"/>
      <w:lvlText w:val="%9."/>
      <w:lvlJc w:val="right"/>
      <w:pPr>
        <w:ind w:left="4789" w:hanging="480"/>
      </w:pPr>
    </w:lvl>
  </w:abstractNum>
  <w:abstractNum w:abstractNumId="9" w15:restartNumberingAfterBreak="0">
    <w:nsid w:val="6F2C438C"/>
    <w:multiLevelType w:val="hybridMultilevel"/>
    <w:tmpl w:val="4C00F800"/>
    <w:lvl w:ilvl="0" w:tplc="22E40168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75115E1B"/>
    <w:multiLevelType w:val="hybridMultilevel"/>
    <w:tmpl w:val="7F2AE1EA"/>
    <w:lvl w:ilvl="0" w:tplc="0CE886C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DD3"/>
    <w:rsid w:val="00002FD3"/>
    <w:rsid w:val="00006932"/>
    <w:rsid w:val="00052A3F"/>
    <w:rsid w:val="00066296"/>
    <w:rsid w:val="00066C23"/>
    <w:rsid w:val="000C6888"/>
    <w:rsid w:val="000D408F"/>
    <w:rsid w:val="000D779D"/>
    <w:rsid w:val="000E508C"/>
    <w:rsid w:val="00136790"/>
    <w:rsid w:val="00184FDB"/>
    <w:rsid w:val="001856BD"/>
    <w:rsid w:val="00191C23"/>
    <w:rsid w:val="001D73B9"/>
    <w:rsid w:val="001E023A"/>
    <w:rsid w:val="001F6010"/>
    <w:rsid w:val="00205AC9"/>
    <w:rsid w:val="002132E9"/>
    <w:rsid w:val="00247CD3"/>
    <w:rsid w:val="00277560"/>
    <w:rsid w:val="002926D7"/>
    <w:rsid w:val="002E74FD"/>
    <w:rsid w:val="00374476"/>
    <w:rsid w:val="0037765F"/>
    <w:rsid w:val="003E1C13"/>
    <w:rsid w:val="00411E15"/>
    <w:rsid w:val="00417155"/>
    <w:rsid w:val="00423770"/>
    <w:rsid w:val="004240FA"/>
    <w:rsid w:val="004457CC"/>
    <w:rsid w:val="00447AE3"/>
    <w:rsid w:val="00473104"/>
    <w:rsid w:val="0049228F"/>
    <w:rsid w:val="005071C8"/>
    <w:rsid w:val="00524ACE"/>
    <w:rsid w:val="00527057"/>
    <w:rsid w:val="0053348C"/>
    <w:rsid w:val="00544B9B"/>
    <w:rsid w:val="005607CE"/>
    <w:rsid w:val="00561A80"/>
    <w:rsid w:val="00564211"/>
    <w:rsid w:val="00567CE1"/>
    <w:rsid w:val="005C4A2B"/>
    <w:rsid w:val="0062369E"/>
    <w:rsid w:val="00637AC4"/>
    <w:rsid w:val="0067517C"/>
    <w:rsid w:val="006B5046"/>
    <w:rsid w:val="006F61D4"/>
    <w:rsid w:val="00703B25"/>
    <w:rsid w:val="0074714F"/>
    <w:rsid w:val="007A0557"/>
    <w:rsid w:val="007A5968"/>
    <w:rsid w:val="007A7E62"/>
    <w:rsid w:val="007E2BE5"/>
    <w:rsid w:val="00807054"/>
    <w:rsid w:val="00866A82"/>
    <w:rsid w:val="0087127E"/>
    <w:rsid w:val="00881660"/>
    <w:rsid w:val="008B60C3"/>
    <w:rsid w:val="008B7655"/>
    <w:rsid w:val="008D51BF"/>
    <w:rsid w:val="008E0F23"/>
    <w:rsid w:val="008E1BD5"/>
    <w:rsid w:val="008F2259"/>
    <w:rsid w:val="008F6E41"/>
    <w:rsid w:val="0095409D"/>
    <w:rsid w:val="009847E5"/>
    <w:rsid w:val="00986D3A"/>
    <w:rsid w:val="009F5570"/>
    <w:rsid w:val="00A326F6"/>
    <w:rsid w:val="00A331B4"/>
    <w:rsid w:val="00A61B33"/>
    <w:rsid w:val="00A74ECE"/>
    <w:rsid w:val="00A82512"/>
    <w:rsid w:val="00AA6AA5"/>
    <w:rsid w:val="00AB77A0"/>
    <w:rsid w:val="00AC2B6B"/>
    <w:rsid w:val="00AF0270"/>
    <w:rsid w:val="00B14F26"/>
    <w:rsid w:val="00B21E0B"/>
    <w:rsid w:val="00B46461"/>
    <w:rsid w:val="00B6749D"/>
    <w:rsid w:val="00B91B57"/>
    <w:rsid w:val="00BA26EB"/>
    <w:rsid w:val="00C10804"/>
    <w:rsid w:val="00C472D4"/>
    <w:rsid w:val="00C63A06"/>
    <w:rsid w:val="00C70CC0"/>
    <w:rsid w:val="00C927D5"/>
    <w:rsid w:val="00CD24C1"/>
    <w:rsid w:val="00CD7CDF"/>
    <w:rsid w:val="00CE4232"/>
    <w:rsid w:val="00D02090"/>
    <w:rsid w:val="00D35ED6"/>
    <w:rsid w:val="00D638BE"/>
    <w:rsid w:val="00D63EF7"/>
    <w:rsid w:val="00D80963"/>
    <w:rsid w:val="00D84E98"/>
    <w:rsid w:val="00DF181C"/>
    <w:rsid w:val="00E7074F"/>
    <w:rsid w:val="00EB4DD3"/>
    <w:rsid w:val="00EF4767"/>
    <w:rsid w:val="00F30554"/>
    <w:rsid w:val="00F41E5C"/>
    <w:rsid w:val="00F47A94"/>
    <w:rsid w:val="00F678A2"/>
    <w:rsid w:val="00F81E72"/>
    <w:rsid w:val="00FB3D47"/>
    <w:rsid w:val="00FB430E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26B86"/>
  <w15:docId w15:val="{DC5E7E3D-12F3-42CD-87AB-B6CB42B6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7E5"/>
    <w:rPr>
      <w:b/>
      <w:bCs/>
    </w:rPr>
  </w:style>
  <w:style w:type="paragraph" w:styleId="Web">
    <w:name w:val="Normal (Web)"/>
    <w:basedOn w:val="a"/>
    <w:uiPriority w:val="99"/>
    <w:semiHidden/>
    <w:unhideWhenUsed/>
    <w:rsid w:val="009847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F678A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3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3D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3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3D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7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2019-08-26T09:39:00Z</cp:lastPrinted>
  <dcterms:created xsi:type="dcterms:W3CDTF">2017-11-23T01:20:00Z</dcterms:created>
  <dcterms:modified xsi:type="dcterms:W3CDTF">2019-09-23T07:33:00Z</dcterms:modified>
</cp:coreProperties>
</file>