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A3" w:rsidRPr="007B560B" w:rsidRDefault="00B310CD" w:rsidP="00B310CD">
      <w:pPr>
        <w:spacing w:line="460" w:lineRule="exact"/>
        <w:jc w:val="center"/>
        <w:rPr>
          <w:rFonts w:ascii="標楷體" w:eastAsia="標楷體" w:hAnsi="標楷體"/>
          <w:color w:val="000000" w:themeColor="text1"/>
          <w:sz w:val="32"/>
          <w:szCs w:val="24"/>
        </w:rPr>
      </w:pPr>
      <w:r w:rsidRPr="007B560B">
        <w:rPr>
          <w:rFonts w:ascii="標楷體" w:eastAsia="標楷體" w:hAnsi="標楷體" w:hint="eastAsia"/>
          <w:color w:val="000000" w:themeColor="text1"/>
          <w:sz w:val="32"/>
          <w:szCs w:val="24"/>
        </w:rPr>
        <w:t>國立嘉義大學111年度推動開源節流計畫</w:t>
      </w:r>
      <w:bookmarkStart w:id="0" w:name="_GoBack"/>
      <w:bookmarkEnd w:id="0"/>
    </w:p>
    <w:p w:rsidR="00A62A85" w:rsidRPr="007B560B" w:rsidRDefault="00A62A85" w:rsidP="00B52D15">
      <w:pPr>
        <w:pStyle w:val="a7"/>
        <w:numPr>
          <w:ilvl w:val="0"/>
          <w:numId w:val="1"/>
        </w:numPr>
        <w:spacing w:line="400" w:lineRule="exact"/>
        <w:ind w:leftChars="0" w:left="1414" w:hanging="1414"/>
        <w:rPr>
          <w:rFonts w:ascii="標楷體" w:eastAsia="標楷體" w:hAnsi="標楷體"/>
          <w:color w:val="000000" w:themeColor="text1"/>
          <w:sz w:val="28"/>
          <w:szCs w:val="24"/>
        </w:rPr>
      </w:pPr>
      <w:r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目標</w:t>
      </w:r>
      <w:r w:rsidR="00C17C1B"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：</w:t>
      </w:r>
      <w:r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為落實開源節流措施，</w:t>
      </w:r>
      <w:r w:rsidR="00461030"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增加自籌收入及</w:t>
      </w:r>
      <w:r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撙節各項支出，</w:t>
      </w:r>
      <w:r w:rsidR="00461030"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以</w:t>
      </w:r>
      <w:r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提升校務基金財務執行績效達</w:t>
      </w:r>
      <w:r w:rsidR="00461030"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賸餘或</w:t>
      </w:r>
      <w:r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收支平衡。</w:t>
      </w:r>
    </w:p>
    <w:p w:rsidR="00A62A85" w:rsidRPr="007B560B" w:rsidRDefault="00A62A85" w:rsidP="00DD31C4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4"/>
        </w:rPr>
      </w:pPr>
      <w:r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期程</w:t>
      </w:r>
      <w:r w:rsidR="00C17C1B"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：</w:t>
      </w:r>
      <w:r w:rsidR="0077068A"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111年</w:t>
      </w:r>
      <w:r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1月至12月</w:t>
      </w:r>
      <w:r w:rsidR="00F11DD5"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。</w:t>
      </w:r>
    </w:p>
    <w:p w:rsidR="00A62A85" w:rsidRPr="007B560B" w:rsidRDefault="00A62A85" w:rsidP="00DD31C4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4"/>
        </w:rPr>
      </w:pPr>
      <w:r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執行單位</w:t>
      </w:r>
      <w:r w:rsidR="00C17C1B"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：</w:t>
      </w:r>
      <w:r w:rsidR="004677FD"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本校</w:t>
      </w:r>
      <w:r w:rsidR="00BE27CF"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各單位</w:t>
      </w:r>
      <w:r w:rsidR="00DD31C4"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。</w:t>
      </w:r>
    </w:p>
    <w:p w:rsidR="00BE27CF" w:rsidRPr="007B560B" w:rsidRDefault="00BE27CF" w:rsidP="008E227F">
      <w:pPr>
        <w:pStyle w:val="a7"/>
        <w:numPr>
          <w:ilvl w:val="0"/>
          <w:numId w:val="1"/>
        </w:numPr>
        <w:spacing w:line="40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4"/>
        </w:rPr>
      </w:pPr>
      <w:r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執行措施</w:t>
      </w:r>
      <w:r w:rsidR="00812DED"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及預期效益表</w:t>
      </w:r>
      <w:r w:rsidR="00316989">
        <w:rPr>
          <w:rFonts w:ascii="標楷體" w:eastAsia="標楷體" w:hAnsi="標楷體" w:hint="eastAsia"/>
          <w:color w:val="000000" w:themeColor="text1"/>
          <w:sz w:val="28"/>
          <w:szCs w:val="24"/>
        </w:rPr>
        <w:t>：</w:t>
      </w:r>
    </w:p>
    <w:p w:rsidR="00BE27CF" w:rsidRPr="007B560B" w:rsidRDefault="00367EAF" w:rsidP="008E227F">
      <w:pPr>
        <w:pStyle w:val="a7"/>
        <w:numPr>
          <w:ilvl w:val="0"/>
          <w:numId w:val="2"/>
        </w:numPr>
        <w:spacing w:line="400" w:lineRule="exact"/>
        <w:ind w:leftChars="0" w:left="482" w:hanging="196"/>
        <w:rPr>
          <w:rFonts w:ascii="標楷體" w:eastAsia="標楷體" w:hAnsi="標楷體"/>
          <w:color w:val="000000" w:themeColor="text1"/>
          <w:sz w:val="28"/>
          <w:szCs w:val="24"/>
        </w:rPr>
      </w:pPr>
      <w:r w:rsidRPr="007B560B">
        <w:rPr>
          <w:rFonts w:ascii="標楷體" w:eastAsia="標楷體" w:hAnsi="標楷體" w:hint="eastAsia"/>
          <w:color w:val="000000" w:themeColor="text1"/>
          <w:sz w:val="28"/>
          <w:szCs w:val="24"/>
        </w:rPr>
        <w:t>開源措施</w:t>
      </w:r>
    </w:p>
    <w:tbl>
      <w:tblPr>
        <w:tblStyle w:val="ab"/>
        <w:tblW w:w="5224" w:type="pct"/>
        <w:jc w:val="center"/>
        <w:tblLook w:val="04A0" w:firstRow="1" w:lastRow="0" w:firstColumn="1" w:lastColumn="0" w:noHBand="0" w:noVBand="1"/>
      </w:tblPr>
      <w:tblGrid>
        <w:gridCol w:w="990"/>
        <w:gridCol w:w="1467"/>
        <w:gridCol w:w="1925"/>
        <w:gridCol w:w="4402"/>
        <w:gridCol w:w="1275"/>
      </w:tblGrid>
      <w:tr w:rsidR="007B560B" w:rsidRPr="007B560B" w:rsidTr="00163CE3">
        <w:trPr>
          <w:tblHeader/>
          <w:jc w:val="center"/>
        </w:trPr>
        <w:tc>
          <w:tcPr>
            <w:tcW w:w="1221" w:type="pct"/>
            <w:gridSpan w:val="2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推動原則</w:t>
            </w:r>
          </w:p>
        </w:tc>
        <w:tc>
          <w:tcPr>
            <w:tcW w:w="957" w:type="pct"/>
            <w:vAlign w:val="center"/>
          </w:tcPr>
          <w:p w:rsidR="00163CE3" w:rsidRPr="007B560B" w:rsidRDefault="00CA131E" w:rsidP="009563F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131E">
              <w:rPr>
                <w:rFonts w:ascii="標楷體" w:eastAsia="標楷體" w:hAnsi="標楷體" w:hint="eastAsia"/>
                <w:color w:val="000000" w:themeColor="text1"/>
                <w:szCs w:val="24"/>
              </w:rPr>
              <w:t>執行措施</w:t>
            </w:r>
          </w:p>
        </w:tc>
        <w:tc>
          <w:tcPr>
            <w:tcW w:w="2188" w:type="pct"/>
            <w:vAlign w:val="center"/>
          </w:tcPr>
          <w:p w:rsidR="00163CE3" w:rsidRPr="007B560B" w:rsidRDefault="00163CE3" w:rsidP="00812D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績效指標</w:t>
            </w:r>
          </w:p>
          <w:p w:rsidR="00163CE3" w:rsidRPr="007B560B" w:rsidRDefault="00163CE3" w:rsidP="00163CE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(請填寫量化績效指標如金額、件數、次數及百分比，無法量化者請填寫質性指標)</w:t>
            </w:r>
          </w:p>
        </w:tc>
        <w:tc>
          <w:tcPr>
            <w:tcW w:w="634" w:type="pct"/>
            <w:vAlign w:val="center"/>
          </w:tcPr>
          <w:p w:rsidR="00163CE3" w:rsidRPr="007B560B" w:rsidRDefault="00163CE3" w:rsidP="00956A95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權責單位</w:t>
            </w:r>
          </w:p>
        </w:tc>
      </w:tr>
      <w:tr w:rsidR="007B560B" w:rsidRPr="007B560B" w:rsidTr="00163CE3">
        <w:trPr>
          <w:trHeight w:val="1606"/>
          <w:jc w:val="center"/>
        </w:trPr>
        <w:tc>
          <w:tcPr>
            <w:tcW w:w="492" w:type="pct"/>
            <w:vMerge w:val="restar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增加學雜費收入</w:t>
            </w:r>
          </w:p>
        </w:tc>
        <w:tc>
          <w:tcPr>
            <w:tcW w:w="729" w:type="pc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加強招生，增闢生源，提升註冊率，以增加學雜費收入</w:t>
            </w:r>
          </w:p>
        </w:tc>
        <w:tc>
          <w:tcPr>
            <w:tcW w:w="957" w:type="pct"/>
            <w:vAlign w:val="center"/>
          </w:tcPr>
          <w:p w:rsidR="00163CE3" w:rsidRPr="007B560B" w:rsidRDefault="00610148" w:rsidP="00A5290B">
            <w:pPr>
              <w:pStyle w:val="a7"/>
              <w:numPr>
                <w:ilvl w:val="0"/>
                <w:numId w:val="10"/>
              </w:numPr>
              <w:spacing w:line="400" w:lineRule="exact"/>
              <w:ind w:leftChars="0" w:left="267" w:hanging="26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增加招生管道，以達適性揚才並增闢生源</w:t>
            </w:r>
          </w:p>
          <w:p w:rsidR="00610148" w:rsidRPr="007B560B" w:rsidRDefault="00610148" w:rsidP="00A5290B">
            <w:pPr>
              <w:pStyle w:val="a7"/>
              <w:numPr>
                <w:ilvl w:val="0"/>
                <w:numId w:val="10"/>
              </w:numPr>
              <w:spacing w:line="400" w:lineRule="exact"/>
              <w:ind w:leftChars="0" w:left="267" w:hanging="26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辦理招生宣傳活動，以提升知名度，吸引學生就讀</w:t>
            </w:r>
          </w:p>
        </w:tc>
        <w:tc>
          <w:tcPr>
            <w:tcW w:w="2188" w:type="pct"/>
            <w:vAlign w:val="center"/>
          </w:tcPr>
          <w:p w:rsidR="009E5C14" w:rsidRPr="007B560B" w:rsidRDefault="00610148" w:rsidP="00A5290B">
            <w:pPr>
              <w:pStyle w:val="a7"/>
              <w:numPr>
                <w:ilvl w:val="0"/>
                <w:numId w:val="20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大學部預計以6</w:t>
            </w:r>
            <w:r w:rsidR="00807F41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個管道招生；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碩、博士班預計以2個管道招生。</w:t>
            </w:r>
          </w:p>
          <w:p w:rsidR="009E5C14" w:rsidRPr="007B560B" w:rsidRDefault="00610148" w:rsidP="00A5290B">
            <w:pPr>
              <w:pStyle w:val="a7"/>
              <w:numPr>
                <w:ilvl w:val="0"/>
                <w:numId w:val="20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邀請高中(職)學校蒞校參訪，進行校園、學系介紹解說，以達招生宣傳之目的，預計出訪及高中(職)到校之宣導次數約12次。</w:t>
            </w:r>
          </w:p>
          <w:p w:rsidR="009E5C14" w:rsidRPr="007B560B" w:rsidRDefault="00610148" w:rsidP="00A5290B">
            <w:pPr>
              <w:pStyle w:val="a7"/>
              <w:numPr>
                <w:ilvl w:val="0"/>
                <w:numId w:val="20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積極參與高中(職)學校辦理大學博覽會活動，以提高本校知名度，藉以吸引優秀學生來校就讀預計參與博覽會次數約12次。</w:t>
            </w:r>
          </w:p>
          <w:p w:rsidR="009E5C14" w:rsidRPr="007B560B" w:rsidRDefault="00610148" w:rsidP="00A5290B">
            <w:pPr>
              <w:pStyle w:val="a7"/>
              <w:numPr>
                <w:ilvl w:val="0"/>
                <w:numId w:val="20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廣泛利用各項管道（電子布告、招生組FB）進行招生宣導，預計布告內容更新次數約12次。</w:t>
            </w:r>
          </w:p>
          <w:p w:rsidR="009E5C14" w:rsidRPr="007B560B" w:rsidRDefault="00610148" w:rsidP="00A5290B">
            <w:pPr>
              <w:pStyle w:val="a7"/>
              <w:numPr>
                <w:ilvl w:val="0"/>
                <w:numId w:val="20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活動電子看板播放招生宣傳影片與相關招生訊息，預計布告內容更新次數約12次。</w:t>
            </w:r>
          </w:p>
          <w:p w:rsidR="00163CE3" w:rsidRPr="007B560B" w:rsidRDefault="003C5060" w:rsidP="00A5290B">
            <w:pPr>
              <w:pStyle w:val="a7"/>
              <w:numPr>
                <w:ilvl w:val="0"/>
                <w:numId w:val="20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敦</w:t>
            </w:r>
            <w:r w:rsidR="00610148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校內</w:t>
            </w:r>
            <w:r w:rsidR="00610148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各學系</w:t>
            </w:r>
            <w:r w:rsidR="00737C5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即時更新網頁內容、豐富網頁特色，提升網頁</w:t>
            </w:r>
            <w:r w:rsidR="00610148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服務品質，藉以吸引更多優質學生來校就讀。</w:t>
            </w:r>
          </w:p>
        </w:tc>
        <w:tc>
          <w:tcPr>
            <w:tcW w:w="634" w:type="pct"/>
            <w:vAlign w:val="center"/>
          </w:tcPr>
          <w:p w:rsidR="00163CE3" w:rsidRPr="007B560B" w:rsidRDefault="00163CE3" w:rsidP="00956A95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教務處</w:t>
            </w:r>
          </w:p>
        </w:tc>
      </w:tr>
      <w:tr w:rsidR="007B560B" w:rsidRPr="007B560B" w:rsidTr="002A5EB8">
        <w:trPr>
          <w:trHeight w:val="932"/>
          <w:jc w:val="center"/>
        </w:trPr>
        <w:tc>
          <w:tcPr>
            <w:tcW w:w="492" w:type="pct"/>
            <w:vMerge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反映辦學成本，適時調整學雜費收費標準，以永續經營</w:t>
            </w:r>
          </w:p>
        </w:tc>
        <w:tc>
          <w:tcPr>
            <w:tcW w:w="957" w:type="pct"/>
            <w:vAlign w:val="center"/>
          </w:tcPr>
          <w:p w:rsidR="00163CE3" w:rsidRPr="007B560B" w:rsidRDefault="00163CE3" w:rsidP="00AB414C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蒐集及評估調整學雜費資訊並依程序辦理報部核准事宜</w:t>
            </w:r>
          </w:p>
        </w:tc>
        <w:tc>
          <w:tcPr>
            <w:tcW w:w="2188" w:type="pct"/>
            <w:vAlign w:val="center"/>
          </w:tcPr>
          <w:p w:rsidR="00610148" w:rsidRPr="007B560B" w:rsidRDefault="00255FB8" w:rsidP="00A5290B">
            <w:pPr>
              <w:pStyle w:val="a7"/>
              <w:numPr>
                <w:ilvl w:val="0"/>
                <w:numId w:val="21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通知</w:t>
            </w:r>
            <w:r w:rsidR="00671D8B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學務處及主計室</w:t>
            </w:r>
            <w:r w:rsidR="005666A5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填報相關資料，完成</w:t>
            </w:r>
            <w:r w:rsidR="002A5EB8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蒐集及檢核本校「財務指標」、「助學指標」及「綜合辦學指標」資料</w:t>
            </w:r>
            <w:r w:rsidR="005666A5">
              <w:rPr>
                <w:rFonts w:ascii="標楷體" w:eastAsia="標楷體" w:hAnsi="標楷體" w:hint="eastAsia"/>
                <w:color w:val="000000" w:themeColor="text1"/>
                <w:szCs w:val="24"/>
              </w:rPr>
              <w:t>事宜</w:t>
            </w:r>
            <w:r w:rsidR="002A5EB8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163CE3" w:rsidRPr="007B560B" w:rsidRDefault="002A5EB8" w:rsidP="00A5290B">
            <w:pPr>
              <w:pStyle w:val="a7"/>
              <w:numPr>
                <w:ilvl w:val="0"/>
                <w:numId w:val="21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前項各指標如</w:t>
            </w:r>
            <w:r w:rsidR="00610148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符合教育部規範，始啟動並完備資訊公開、研議公開等校內</w:t>
            </w:r>
            <w:r w:rsidR="00610148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學雜費調整程序，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並</w:t>
            </w:r>
            <w:r w:rsidR="00610148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依限完成報部事宜。</w:t>
            </w:r>
          </w:p>
        </w:tc>
        <w:tc>
          <w:tcPr>
            <w:tcW w:w="634" w:type="pct"/>
            <w:vAlign w:val="center"/>
          </w:tcPr>
          <w:p w:rsidR="00163CE3" w:rsidRPr="007B560B" w:rsidRDefault="00163CE3" w:rsidP="00956A95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教務處</w:t>
            </w:r>
          </w:p>
        </w:tc>
      </w:tr>
      <w:tr w:rsidR="007B560B" w:rsidRPr="007B560B" w:rsidTr="00163CE3">
        <w:trPr>
          <w:trHeight w:val="1218"/>
          <w:jc w:val="center"/>
        </w:trPr>
        <w:tc>
          <w:tcPr>
            <w:tcW w:w="492" w:type="pct"/>
            <w:vMerge w:val="restar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增加推廣教育收入</w:t>
            </w:r>
          </w:p>
        </w:tc>
        <w:tc>
          <w:tcPr>
            <w:tcW w:w="729" w:type="pct"/>
            <w:vMerge w:val="restar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配合政府政策、產業需求及本校特色，開辦各項推廣教育課程</w:t>
            </w:r>
          </w:p>
        </w:tc>
        <w:tc>
          <w:tcPr>
            <w:tcW w:w="957" w:type="pct"/>
            <w:vAlign w:val="center"/>
          </w:tcPr>
          <w:p w:rsidR="00163CE3" w:rsidRPr="007B560B" w:rsidRDefault="00163CE3" w:rsidP="00715692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辦理教育部、勞動部、縣市政府</w:t>
            </w:r>
            <w:r w:rsidR="00715692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及企業委辦與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自辦班</w:t>
            </w:r>
          </w:p>
        </w:tc>
        <w:tc>
          <w:tcPr>
            <w:tcW w:w="2188" w:type="pct"/>
            <w:vAlign w:val="center"/>
          </w:tcPr>
          <w:p w:rsidR="002D587C" w:rsidRPr="007B560B" w:rsidRDefault="00BD64D0" w:rsidP="00A5290B">
            <w:pPr>
              <w:pStyle w:val="a7"/>
              <w:numPr>
                <w:ilvl w:val="0"/>
                <w:numId w:val="22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AA4FB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辦理勞動部課程6班。</w:t>
            </w:r>
          </w:p>
          <w:p w:rsidR="002D587C" w:rsidRPr="007B560B" w:rsidRDefault="00BD64D0" w:rsidP="00A5290B">
            <w:pPr>
              <w:pStyle w:val="a7"/>
              <w:numPr>
                <w:ilvl w:val="0"/>
                <w:numId w:val="22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AA4FB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辦理縣市政府委託2班。</w:t>
            </w:r>
          </w:p>
          <w:p w:rsidR="002D587C" w:rsidRPr="007B560B" w:rsidRDefault="00BD64D0" w:rsidP="00A5290B">
            <w:pPr>
              <w:pStyle w:val="a7"/>
              <w:numPr>
                <w:ilvl w:val="0"/>
                <w:numId w:val="22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AA4FB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辦理教育部5班。</w:t>
            </w:r>
          </w:p>
          <w:p w:rsidR="002D587C" w:rsidRPr="007B560B" w:rsidRDefault="00BD64D0" w:rsidP="00A5290B">
            <w:pPr>
              <w:pStyle w:val="a7"/>
              <w:numPr>
                <w:ilvl w:val="0"/>
                <w:numId w:val="22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AA4FB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辦理自辦班10班。</w:t>
            </w:r>
          </w:p>
          <w:p w:rsidR="002D587C" w:rsidRPr="007B560B" w:rsidRDefault="00BD64D0" w:rsidP="00A5290B">
            <w:pPr>
              <w:pStyle w:val="a7"/>
              <w:numPr>
                <w:ilvl w:val="0"/>
                <w:numId w:val="22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AA4FB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辦理民間單位委託17班。</w:t>
            </w:r>
          </w:p>
          <w:p w:rsidR="00163CE3" w:rsidRPr="007B560B" w:rsidRDefault="00BD64D0" w:rsidP="00A5290B">
            <w:pPr>
              <w:pStyle w:val="a7"/>
              <w:numPr>
                <w:ilvl w:val="0"/>
                <w:numId w:val="22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AA4FB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總參訓人數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為</w:t>
            </w:r>
            <w:r w:rsidR="00AA4FB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800人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次</w:t>
            </w:r>
            <w:r w:rsidR="00AA4FB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34" w:type="pct"/>
            <w:vAlign w:val="center"/>
          </w:tcPr>
          <w:p w:rsidR="00163CE3" w:rsidRPr="007B560B" w:rsidRDefault="00163CE3" w:rsidP="00956A95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產學營運及推廣處</w:t>
            </w:r>
          </w:p>
        </w:tc>
      </w:tr>
      <w:tr w:rsidR="007B560B" w:rsidRPr="007B560B" w:rsidTr="00163CE3">
        <w:trPr>
          <w:trHeight w:val="1220"/>
          <w:jc w:val="center"/>
        </w:trPr>
        <w:tc>
          <w:tcPr>
            <w:tcW w:w="492" w:type="pct"/>
            <w:vMerge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9" w:type="pct"/>
            <w:vMerge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163CE3" w:rsidRPr="007B560B" w:rsidRDefault="00163CE3" w:rsidP="00AB4182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辦理華語文、英外語推廣教育課程班</w:t>
            </w:r>
          </w:p>
        </w:tc>
        <w:tc>
          <w:tcPr>
            <w:tcW w:w="2188" w:type="pct"/>
            <w:vAlign w:val="center"/>
          </w:tcPr>
          <w:p w:rsidR="00997BBB" w:rsidRPr="007B560B" w:rsidRDefault="00484866" w:rsidP="00611CE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997BBB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辦理2</w:t>
            </w:r>
            <w:r w:rsidR="00611CE7">
              <w:rPr>
                <w:rFonts w:ascii="標楷體" w:eastAsia="標楷體" w:hAnsi="標楷體" w:hint="eastAsia"/>
                <w:color w:val="000000" w:themeColor="text1"/>
                <w:szCs w:val="24"/>
              </w:rPr>
              <w:t>期外語推廣班、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4期華語推廣班課程，以提升嘉義地區華語、英外語學習人口。</w:t>
            </w:r>
          </w:p>
        </w:tc>
        <w:tc>
          <w:tcPr>
            <w:tcW w:w="634" w:type="pct"/>
            <w:vAlign w:val="center"/>
          </w:tcPr>
          <w:p w:rsidR="00163CE3" w:rsidRPr="007B560B" w:rsidRDefault="00163CE3" w:rsidP="00956A9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語言中心</w:t>
            </w:r>
          </w:p>
        </w:tc>
      </w:tr>
      <w:tr w:rsidR="007B560B" w:rsidRPr="007B560B" w:rsidTr="00163CE3">
        <w:trPr>
          <w:trHeight w:val="1740"/>
          <w:jc w:val="center"/>
        </w:trPr>
        <w:tc>
          <w:tcPr>
            <w:tcW w:w="492" w:type="pct"/>
            <w:vMerge w:val="restar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增加產學合作收入</w:t>
            </w:r>
          </w:p>
        </w:tc>
        <w:tc>
          <w:tcPr>
            <w:tcW w:w="729" w:type="pc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結合產官學界組織研究團隊，撰寫計畫爭取補助</w:t>
            </w:r>
          </w:p>
        </w:tc>
        <w:tc>
          <w:tcPr>
            <w:tcW w:w="957" w:type="pct"/>
            <w:vAlign w:val="center"/>
          </w:tcPr>
          <w:p w:rsidR="00163CE3" w:rsidRPr="007B560B" w:rsidRDefault="00163CE3" w:rsidP="009563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辦理學校與非政府機關產學合作案</w:t>
            </w:r>
          </w:p>
        </w:tc>
        <w:tc>
          <w:tcPr>
            <w:tcW w:w="2188" w:type="pct"/>
            <w:vAlign w:val="center"/>
          </w:tcPr>
          <w:p w:rsidR="002D587C" w:rsidRPr="007B560B" w:rsidRDefault="00484866" w:rsidP="00A5290B">
            <w:pPr>
              <w:pStyle w:val="a7"/>
              <w:numPr>
                <w:ilvl w:val="0"/>
                <w:numId w:val="23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AA4FB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辦理學校與非政府機關產學合作案200件。</w:t>
            </w:r>
          </w:p>
          <w:p w:rsidR="00AA4FBD" w:rsidRPr="007B560B" w:rsidRDefault="00484866" w:rsidP="00A5290B">
            <w:pPr>
              <w:pStyle w:val="a7"/>
              <w:numPr>
                <w:ilvl w:val="0"/>
                <w:numId w:val="23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AA4FB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計畫總收入達7</w:t>
            </w:r>
            <w:r w:rsidR="00AA4FBD" w:rsidRPr="007B560B">
              <w:rPr>
                <w:rFonts w:ascii="標楷體" w:eastAsia="標楷體" w:hAnsi="標楷體"/>
                <w:color w:val="000000" w:themeColor="text1"/>
                <w:szCs w:val="24"/>
              </w:rPr>
              <w:t>,000</w:t>
            </w:r>
            <w:r w:rsidR="00AA4FB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萬以上。</w:t>
            </w:r>
          </w:p>
        </w:tc>
        <w:tc>
          <w:tcPr>
            <w:tcW w:w="634" w:type="pct"/>
            <w:vAlign w:val="center"/>
          </w:tcPr>
          <w:p w:rsidR="00163CE3" w:rsidRPr="007B560B" w:rsidRDefault="00163CE3" w:rsidP="00956A9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產學營運及推廣處</w:t>
            </w:r>
          </w:p>
        </w:tc>
      </w:tr>
      <w:tr w:rsidR="007B560B" w:rsidRPr="007B560B" w:rsidTr="00163CE3">
        <w:trPr>
          <w:trHeight w:val="912"/>
          <w:jc w:val="center"/>
        </w:trPr>
        <w:tc>
          <w:tcPr>
            <w:tcW w:w="492" w:type="pct"/>
            <w:vMerge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9" w:type="pct"/>
            <w:vMerge w:val="restar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落實產業育成與研發成果移轉，並提高校名及商標授權，增加權利金收入</w:t>
            </w:r>
          </w:p>
        </w:tc>
        <w:tc>
          <w:tcPr>
            <w:tcW w:w="957" w:type="pct"/>
            <w:vAlign w:val="center"/>
          </w:tcPr>
          <w:p w:rsidR="00163CE3" w:rsidRPr="007B560B" w:rsidRDefault="00163CE3" w:rsidP="009563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辦理本校人員申請研發成果技術移轉案</w:t>
            </w:r>
          </w:p>
        </w:tc>
        <w:tc>
          <w:tcPr>
            <w:tcW w:w="2188" w:type="pct"/>
            <w:vAlign w:val="center"/>
          </w:tcPr>
          <w:p w:rsidR="0062385E" w:rsidRPr="007B560B" w:rsidRDefault="00484866" w:rsidP="00A5290B">
            <w:pPr>
              <w:pStyle w:val="a7"/>
              <w:numPr>
                <w:ilvl w:val="0"/>
                <w:numId w:val="24"/>
              </w:numPr>
              <w:spacing w:line="400" w:lineRule="exact"/>
              <w:ind w:leftChars="0" w:left="302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</w:t>
            </w:r>
            <w:r w:rsidR="009B79B9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鼓勵本校人員就其發展成果積極申請技術移轉，以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提升技轉績效，</w:t>
            </w:r>
            <w:r w:rsidR="00E20262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增加授權</w:t>
            </w:r>
            <w:r w:rsidR="009B79B9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金收入。</w:t>
            </w:r>
          </w:p>
          <w:p w:rsidR="00163CE3" w:rsidRPr="007B560B" w:rsidRDefault="00484866" w:rsidP="00A5290B">
            <w:pPr>
              <w:pStyle w:val="a7"/>
              <w:numPr>
                <w:ilvl w:val="0"/>
                <w:numId w:val="24"/>
              </w:numPr>
              <w:spacing w:line="400" w:lineRule="exact"/>
              <w:ind w:leftChars="0" w:left="288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9B79B9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辦理授權移轉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案</w:t>
            </w:r>
            <w:r w:rsidR="009B79B9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件</w:t>
            </w:r>
            <w:r w:rsidR="009B79B9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34" w:type="pct"/>
            <w:vMerge w:val="restart"/>
            <w:vAlign w:val="center"/>
          </w:tcPr>
          <w:p w:rsidR="00163CE3" w:rsidRPr="007B560B" w:rsidRDefault="00163CE3" w:rsidP="00956A95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產學營運及推廣處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(創新育成中心)</w:t>
            </w:r>
          </w:p>
        </w:tc>
      </w:tr>
      <w:tr w:rsidR="007B560B" w:rsidRPr="007B560B" w:rsidTr="00163CE3">
        <w:trPr>
          <w:trHeight w:val="1200"/>
          <w:jc w:val="center"/>
        </w:trPr>
        <w:tc>
          <w:tcPr>
            <w:tcW w:w="492" w:type="pct"/>
            <w:vMerge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9" w:type="pct"/>
            <w:vMerge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163CE3" w:rsidRPr="007B560B" w:rsidRDefault="00163CE3" w:rsidP="009563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辦理校名及商標授權案</w:t>
            </w:r>
          </w:p>
        </w:tc>
        <w:tc>
          <w:tcPr>
            <w:tcW w:w="2188" w:type="pct"/>
            <w:vAlign w:val="center"/>
          </w:tcPr>
          <w:p w:rsidR="006F4774" w:rsidRPr="007B560B" w:rsidRDefault="00E20262" w:rsidP="00A5290B">
            <w:pPr>
              <w:pStyle w:val="a7"/>
              <w:numPr>
                <w:ilvl w:val="0"/>
                <w:numId w:val="25"/>
              </w:numPr>
              <w:spacing w:line="400" w:lineRule="exact"/>
              <w:ind w:leftChars="0" w:left="320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</w:t>
            </w:r>
            <w:r w:rsidR="009B79B9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強化「嘉大」品牌，提高廠商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使用</w:t>
            </w:r>
            <w:r w:rsidR="009B79B9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意願，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以增加授權</w:t>
            </w:r>
            <w:r w:rsidR="009B79B9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金收入</w:t>
            </w:r>
            <w:r w:rsidR="006F4774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163CE3" w:rsidRPr="007B560B" w:rsidRDefault="00E20262" w:rsidP="00A5290B">
            <w:pPr>
              <w:pStyle w:val="a7"/>
              <w:numPr>
                <w:ilvl w:val="0"/>
                <w:numId w:val="25"/>
              </w:numPr>
              <w:spacing w:line="400" w:lineRule="exact"/>
              <w:ind w:leftChars="0" w:left="302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9B79B9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辦理校名及商標授權案2件。</w:t>
            </w:r>
          </w:p>
        </w:tc>
        <w:tc>
          <w:tcPr>
            <w:tcW w:w="634" w:type="pct"/>
            <w:vMerge/>
            <w:vAlign w:val="center"/>
          </w:tcPr>
          <w:p w:rsidR="00163CE3" w:rsidRPr="007B560B" w:rsidRDefault="00163CE3" w:rsidP="00956A95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560B" w:rsidRPr="007B560B" w:rsidTr="00C97F89">
        <w:trPr>
          <w:trHeight w:val="932"/>
          <w:jc w:val="center"/>
        </w:trPr>
        <w:tc>
          <w:tcPr>
            <w:tcW w:w="492" w:type="pc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增加政府科研補助或委託辦理之收入</w:t>
            </w:r>
          </w:p>
        </w:tc>
        <w:tc>
          <w:tcPr>
            <w:tcW w:w="729" w:type="pc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爭取政府專案性補助計畫，挹注教學、研究及服務經費</w:t>
            </w:r>
          </w:p>
        </w:tc>
        <w:tc>
          <w:tcPr>
            <w:tcW w:w="957" w:type="pc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辦理學校與政府機關產學合作案(含教育部、農委會、科技部及其他政府機關)</w:t>
            </w:r>
          </w:p>
        </w:tc>
        <w:tc>
          <w:tcPr>
            <w:tcW w:w="2188" w:type="pct"/>
            <w:vAlign w:val="center"/>
          </w:tcPr>
          <w:p w:rsidR="005E6FCF" w:rsidRPr="007B560B" w:rsidRDefault="005957E5" w:rsidP="00A5290B">
            <w:pPr>
              <w:pStyle w:val="a7"/>
              <w:numPr>
                <w:ilvl w:val="0"/>
                <w:numId w:val="13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提高教師與產官學研之產學合作能量，整體掌握全校產學合作（含政府科研補助或委託辦理)</w:t>
            </w:r>
            <w:r w:rsidR="005E6FCF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計畫能量</w:t>
            </w:r>
            <w:r w:rsidR="00CE0443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163CE3" w:rsidRPr="007B560B" w:rsidRDefault="005E6FCF" w:rsidP="00956A95">
            <w:pPr>
              <w:pStyle w:val="a7"/>
              <w:numPr>
                <w:ilvl w:val="0"/>
                <w:numId w:val="13"/>
              </w:numPr>
              <w:spacing w:line="400" w:lineRule="exact"/>
              <w:ind w:leftChars="0" w:left="274" w:hanging="27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預計辦理</w:t>
            </w:r>
            <w:r w:rsidR="005957E5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產學合作計畫總金額</w:t>
            </w:r>
            <w:r w:rsidR="00C53381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達</w:t>
            </w:r>
            <w:r w:rsidR="005957E5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億</w:t>
            </w:r>
            <w:r w:rsidR="005957E5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000萬</w:t>
            </w:r>
            <w:r w:rsidR="005957E5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元。</w:t>
            </w:r>
          </w:p>
        </w:tc>
        <w:tc>
          <w:tcPr>
            <w:tcW w:w="634" w:type="pct"/>
            <w:vAlign w:val="center"/>
          </w:tcPr>
          <w:p w:rsidR="00163CE3" w:rsidRPr="007B560B" w:rsidRDefault="00163CE3" w:rsidP="00956A95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研究發展處</w:t>
            </w:r>
          </w:p>
        </w:tc>
      </w:tr>
      <w:tr w:rsidR="007B560B" w:rsidRPr="007B560B" w:rsidTr="00163CE3">
        <w:trPr>
          <w:jc w:val="center"/>
        </w:trPr>
        <w:tc>
          <w:tcPr>
            <w:tcW w:w="492" w:type="pct"/>
            <w:vMerge w:val="restar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增加場</w:t>
            </w: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地設備管理收入</w:t>
            </w:r>
          </w:p>
        </w:tc>
        <w:tc>
          <w:tcPr>
            <w:tcW w:w="729" w:type="pct"/>
            <w:vMerge w:val="restar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維護各場館</w:t>
            </w: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設施品質，訂定管理及收費標準，充分活化利用，提升出租率及收益</w:t>
            </w:r>
          </w:p>
        </w:tc>
        <w:tc>
          <w:tcPr>
            <w:tcW w:w="957" w:type="pc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辦理學生宿舍寒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暑假租用事宜</w:t>
            </w:r>
          </w:p>
        </w:tc>
        <w:tc>
          <w:tcPr>
            <w:tcW w:w="2188" w:type="pct"/>
            <w:vAlign w:val="center"/>
          </w:tcPr>
          <w:p w:rsidR="00163CE3" w:rsidRPr="007B560B" w:rsidRDefault="00CE0443" w:rsidP="00A5290B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預計蘭潭宿舍</w:t>
            </w:r>
            <w:r w:rsidR="005024F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租用</w:t>
            </w:r>
            <w:r w:rsidR="006F4774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收入50萬元。</w:t>
            </w:r>
          </w:p>
          <w:p w:rsidR="006F4774" w:rsidRPr="007B560B" w:rsidRDefault="00CE0443" w:rsidP="00A5290B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預計</w:t>
            </w:r>
            <w:r w:rsidR="00812E24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民雄宿舍</w:t>
            </w:r>
            <w:r w:rsidR="005024F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租用</w:t>
            </w:r>
            <w:r w:rsidR="00812E24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收入40萬元。</w:t>
            </w:r>
          </w:p>
          <w:p w:rsidR="00812E24" w:rsidRPr="007B560B" w:rsidRDefault="00CE0443" w:rsidP="00A5290B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812E24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進德樓宿舍</w:t>
            </w:r>
            <w:r w:rsidR="005024F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租用</w:t>
            </w:r>
            <w:r w:rsidR="00812E24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收入14萬元。</w:t>
            </w:r>
          </w:p>
          <w:p w:rsidR="00812E24" w:rsidRPr="007B560B" w:rsidRDefault="00CE0443" w:rsidP="00A5290B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812E24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新民宿舍</w:t>
            </w:r>
            <w:r w:rsidR="005024F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租用</w:t>
            </w:r>
            <w:r w:rsidR="00812E24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收入14萬元。</w:t>
            </w:r>
          </w:p>
          <w:p w:rsidR="00812E24" w:rsidRPr="007B560B" w:rsidRDefault="00CE0443" w:rsidP="00A5290B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B943E7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林森宿舍</w:t>
            </w:r>
            <w:r w:rsidR="005024F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租用</w:t>
            </w:r>
            <w:r w:rsidR="00B943E7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收入12萬元。</w:t>
            </w:r>
          </w:p>
        </w:tc>
        <w:tc>
          <w:tcPr>
            <w:tcW w:w="634" w:type="pct"/>
            <w:vAlign w:val="center"/>
          </w:tcPr>
          <w:p w:rsidR="00163CE3" w:rsidRPr="007B560B" w:rsidRDefault="00163CE3" w:rsidP="00956A95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學生事務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處</w:t>
            </w:r>
          </w:p>
        </w:tc>
      </w:tr>
      <w:tr w:rsidR="007B560B" w:rsidRPr="007B560B" w:rsidTr="00163CE3">
        <w:trPr>
          <w:jc w:val="center"/>
        </w:trPr>
        <w:tc>
          <w:tcPr>
            <w:tcW w:w="492" w:type="pct"/>
            <w:vMerge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9" w:type="pct"/>
            <w:vMerge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依使用者付費原則，辦理各校區學生宿舍寢室電費收費事宜</w:t>
            </w:r>
          </w:p>
        </w:tc>
        <w:tc>
          <w:tcPr>
            <w:tcW w:w="2188" w:type="pct"/>
            <w:vAlign w:val="center"/>
          </w:tcPr>
          <w:p w:rsidR="00742684" w:rsidRPr="007B560B" w:rsidRDefault="00EB49FF" w:rsidP="00A5290B">
            <w:pPr>
              <w:pStyle w:val="a7"/>
              <w:numPr>
                <w:ilvl w:val="0"/>
                <w:numId w:val="14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每學期</w:t>
            </w:r>
            <w:r w:rsidR="00742684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(期初、期末)</w:t>
            </w:r>
            <w:r w:rsidR="004949F7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</w:t>
            </w:r>
            <w:r w:rsidR="00742684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電表抄錄與資料保存</w:t>
            </w:r>
            <w:r w:rsidR="00C53381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及應收費用公告</w:t>
            </w:r>
            <w:r w:rsidR="00742684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</w:t>
            </w:r>
            <w:r w:rsidR="00F7785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收費</w:t>
            </w:r>
            <w:r w:rsidR="00742684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事宜。</w:t>
            </w:r>
          </w:p>
          <w:p w:rsidR="004949F7" w:rsidRPr="007B560B" w:rsidRDefault="00444576" w:rsidP="00A5290B">
            <w:pPr>
              <w:pStyle w:val="a7"/>
              <w:numPr>
                <w:ilvl w:val="0"/>
                <w:numId w:val="14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配合出納手冊相關規定，</w:t>
            </w:r>
            <w:r w:rsidR="004949F7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每週辦理冷氣費(儲值卡)收費繳納事宜。</w:t>
            </w:r>
          </w:p>
          <w:p w:rsidR="00163CE3" w:rsidRPr="007B560B" w:rsidRDefault="00444576" w:rsidP="00A5290B">
            <w:pPr>
              <w:pStyle w:val="a7"/>
              <w:numPr>
                <w:ilvl w:val="0"/>
                <w:numId w:val="14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每學年辦理相關抽查業務至少1次</w:t>
            </w:r>
            <w:r w:rsidR="00F7785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34" w:type="pct"/>
            <w:vAlign w:val="center"/>
          </w:tcPr>
          <w:p w:rsidR="00163CE3" w:rsidRPr="007B560B" w:rsidRDefault="00163CE3" w:rsidP="00956A95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學生事務處</w:t>
            </w:r>
          </w:p>
        </w:tc>
      </w:tr>
      <w:tr w:rsidR="007B560B" w:rsidRPr="007B560B" w:rsidTr="00163CE3">
        <w:trPr>
          <w:jc w:val="center"/>
        </w:trPr>
        <w:tc>
          <w:tcPr>
            <w:tcW w:w="492" w:type="pct"/>
            <w:vMerge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9" w:type="pct"/>
            <w:vMerge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163CE3" w:rsidRPr="007B560B" w:rsidRDefault="00163CE3" w:rsidP="00285909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辦理各校區場館設備租用事宜 (含招待所及太陽能發電設備出租)</w:t>
            </w:r>
          </w:p>
        </w:tc>
        <w:tc>
          <w:tcPr>
            <w:tcW w:w="2188" w:type="pct"/>
            <w:vAlign w:val="center"/>
          </w:tcPr>
          <w:p w:rsidR="00163CE3" w:rsidRPr="007B560B" w:rsidRDefault="002C1D65" w:rsidP="00A5290B">
            <w:pPr>
              <w:pStyle w:val="a7"/>
              <w:numPr>
                <w:ilvl w:val="0"/>
                <w:numId w:val="15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9A497B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</w:t>
            </w:r>
            <w:r w:rsidR="00F7785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場地短期租用案(含會議場館、停車場、職務宿舍、招待所等場地)收入</w:t>
            </w:r>
            <w:r w:rsidR="009A497B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約</w:t>
            </w:r>
            <w:r w:rsidR="00F7785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300萬元。</w:t>
            </w:r>
          </w:p>
          <w:p w:rsidR="00F7785D" w:rsidRPr="007B560B" w:rsidRDefault="002C1D65" w:rsidP="00A5290B">
            <w:pPr>
              <w:pStyle w:val="a7"/>
              <w:numPr>
                <w:ilvl w:val="0"/>
                <w:numId w:val="15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9A497B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</w:t>
            </w:r>
            <w:r w:rsidR="00F7785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場地長期租用案(</w:t>
            </w:r>
            <w:r w:rsidR="00B43034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含</w:t>
            </w:r>
            <w:r w:rsidR="00F7785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嘉大昆蟲館園區、中華郵政、員生消費合作社、蘭潭影印部、民雄文具部、基地台、太陽光電發電設備、餐廳、和雲租車及自動販賣機設置等)30件，收入</w:t>
            </w:r>
            <w:r w:rsidR="009A497B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約</w:t>
            </w:r>
            <w:r w:rsidR="00F7785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450萬元。</w:t>
            </w:r>
          </w:p>
        </w:tc>
        <w:tc>
          <w:tcPr>
            <w:tcW w:w="634" w:type="pct"/>
            <w:vAlign w:val="center"/>
          </w:tcPr>
          <w:p w:rsidR="00163CE3" w:rsidRPr="007B560B" w:rsidRDefault="00163CE3" w:rsidP="00956A95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</w:p>
        </w:tc>
      </w:tr>
      <w:tr w:rsidR="007B560B" w:rsidRPr="007B560B" w:rsidTr="000C635C">
        <w:trPr>
          <w:trHeight w:val="2516"/>
          <w:jc w:val="center"/>
        </w:trPr>
        <w:tc>
          <w:tcPr>
            <w:tcW w:w="492" w:type="pct"/>
            <w:vMerge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9" w:type="pct"/>
            <w:vMerge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辦理林森校區場館設備租用事宜</w:t>
            </w:r>
          </w:p>
        </w:tc>
        <w:tc>
          <w:tcPr>
            <w:tcW w:w="2188" w:type="pct"/>
            <w:vAlign w:val="center"/>
          </w:tcPr>
          <w:p w:rsidR="00553244" w:rsidRPr="007B560B" w:rsidRDefault="00A23E14" w:rsidP="00A5290B">
            <w:pPr>
              <w:pStyle w:val="a7"/>
              <w:numPr>
                <w:ilvl w:val="0"/>
                <w:numId w:val="16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vanish/>
                <w:color w:val="000000" w:themeColor="text1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</w:rPr>
              <w:t>提高資源使用率及最適配置，有效利用</w:t>
            </w:r>
            <w:r w:rsidR="00553244" w:rsidRPr="007B560B">
              <w:rPr>
                <w:rFonts w:ascii="標楷體" w:eastAsia="標楷體" w:hAnsi="標楷體" w:hint="eastAsia"/>
                <w:color w:val="000000" w:themeColor="text1"/>
              </w:rPr>
              <w:t>建築物空間。</w:t>
            </w:r>
          </w:p>
          <w:p w:rsidR="00553244" w:rsidRPr="007B560B" w:rsidRDefault="00A23E14" w:rsidP="00A5290B">
            <w:pPr>
              <w:pStyle w:val="a7"/>
              <w:numPr>
                <w:ilvl w:val="0"/>
                <w:numId w:val="16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vanish/>
                <w:color w:val="000000" w:themeColor="text1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553244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</w:t>
            </w:r>
            <w:r w:rsidR="00553244" w:rsidRPr="007B560B">
              <w:rPr>
                <w:rFonts w:ascii="標楷體" w:eastAsia="標楷體" w:hAnsi="標楷體" w:hint="eastAsia"/>
                <w:color w:val="000000" w:themeColor="text1"/>
              </w:rPr>
              <w:t>短期租用收入</w:t>
            </w:r>
            <w:r w:rsidR="009A497B" w:rsidRPr="007B560B">
              <w:rPr>
                <w:rFonts w:ascii="標楷體" w:eastAsia="標楷體" w:hAnsi="標楷體" w:hint="eastAsia"/>
                <w:color w:val="000000" w:themeColor="text1"/>
              </w:rPr>
              <w:t>較110年</w:t>
            </w:r>
            <w:r w:rsidR="00553244" w:rsidRPr="007B560B">
              <w:rPr>
                <w:rFonts w:ascii="標楷體" w:eastAsia="標楷體" w:hAnsi="標楷體" w:hint="eastAsia"/>
                <w:color w:val="000000" w:themeColor="text1"/>
              </w:rPr>
              <w:t>提高2%。</w:t>
            </w:r>
          </w:p>
          <w:p w:rsidR="00163CE3" w:rsidRPr="007B560B" w:rsidRDefault="00A23E14" w:rsidP="00A5290B">
            <w:pPr>
              <w:pStyle w:val="a7"/>
              <w:numPr>
                <w:ilvl w:val="0"/>
                <w:numId w:val="16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vanish/>
                <w:color w:val="000000" w:themeColor="text1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</w:rPr>
              <w:t>預計</w:t>
            </w:r>
            <w:r w:rsidR="00553244" w:rsidRPr="007B560B">
              <w:rPr>
                <w:rFonts w:ascii="標楷體" w:eastAsia="標楷體" w:hAnsi="標楷體" w:hint="eastAsia"/>
                <w:color w:val="000000" w:themeColor="text1"/>
              </w:rPr>
              <w:t>場地長期租用收入</w:t>
            </w:r>
            <w:r w:rsidR="009A497B" w:rsidRPr="007B560B">
              <w:rPr>
                <w:rFonts w:ascii="標楷體" w:eastAsia="標楷體" w:hAnsi="標楷體" w:hint="eastAsia"/>
                <w:color w:val="000000" w:themeColor="text1"/>
              </w:rPr>
              <w:t>較110年</w:t>
            </w:r>
            <w:r w:rsidR="00553244" w:rsidRPr="007B560B">
              <w:rPr>
                <w:rFonts w:ascii="標楷體" w:eastAsia="標楷體" w:hAnsi="標楷體" w:hint="eastAsia"/>
                <w:color w:val="000000" w:themeColor="text1"/>
              </w:rPr>
              <w:t>提高1%。</w:t>
            </w:r>
          </w:p>
        </w:tc>
        <w:tc>
          <w:tcPr>
            <w:tcW w:w="634" w:type="pct"/>
            <w:vAlign w:val="center"/>
          </w:tcPr>
          <w:p w:rsidR="00163CE3" w:rsidRPr="007B560B" w:rsidRDefault="00163CE3" w:rsidP="00956A95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產學營運及推廣處</w:t>
            </w:r>
          </w:p>
        </w:tc>
      </w:tr>
      <w:tr w:rsidR="007B560B" w:rsidRPr="007B560B" w:rsidTr="00163CE3">
        <w:trPr>
          <w:trHeight w:val="979"/>
          <w:jc w:val="center"/>
        </w:trPr>
        <w:tc>
          <w:tcPr>
            <w:tcW w:w="492" w:type="pct"/>
            <w:vMerge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9" w:type="pct"/>
            <w:vMerge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辦理各校區體育場館設備租用事宜</w:t>
            </w:r>
          </w:p>
        </w:tc>
        <w:tc>
          <w:tcPr>
            <w:tcW w:w="2188" w:type="pct"/>
            <w:vAlign w:val="center"/>
          </w:tcPr>
          <w:p w:rsidR="00163CE3" w:rsidRPr="007B560B" w:rsidRDefault="00C97F89" w:rsidP="00B2091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於疫情完全解封前提下，各校區體育場館租借收入預計較110年度增加1%。</w:t>
            </w:r>
          </w:p>
        </w:tc>
        <w:tc>
          <w:tcPr>
            <w:tcW w:w="634" w:type="pct"/>
            <w:vAlign w:val="center"/>
          </w:tcPr>
          <w:p w:rsidR="00163CE3" w:rsidRPr="007B560B" w:rsidRDefault="00163CE3" w:rsidP="00956A95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體育室</w:t>
            </w:r>
          </w:p>
        </w:tc>
      </w:tr>
      <w:tr w:rsidR="007B560B" w:rsidRPr="007B560B" w:rsidTr="00163CE3">
        <w:trPr>
          <w:trHeight w:val="979"/>
          <w:jc w:val="center"/>
        </w:trPr>
        <w:tc>
          <w:tcPr>
            <w:tcW w:w="492" w:type="pct"/>
            <w:vMerge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9" w:type="pct"/>
            <w:vMerge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辦理園藝技藝中心付費參觀事宜</w:t>
            </w:r>
          </w:p>
        </w:tc>
        <w:tc>
          <w:tcPr>
            <w:tcW w:w="2188" w:type="pct"/>
            <w:vAlign w:val="center"/>
          </w:tcPr>
          <w:p w:rsidR="009B1381" w:rsidRPr="007B560B" w:rsidRDefault="0091000F" w:rsidP="00A5290B">
            <w:pPr>
              <w:pStyle w:val="a7"/>
              <w:numPr>
                <w:ilvl w:val="0"/>
                <w:numId w:val="17"/>
              </w:numPr>
              <w:spacing w:line="400" w:lineRule="exact"/>
              <w:ind w:leftChars="0" w:left="260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修訂</w:t>
            </w:r>
            <w:r w:rsidRPr="007B560B">
              <w:rPr>
                <w:rFonts w:ascii="標楷體" w:eastAsia="標楷體" w:hAnsi="標楷體" w:hint="eastAsia"/>
                <w:color w:val="000000" w:themeColor="text1"/>
              </w:rPr>
              <w:t>參觀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辦法完備收費機制，以滿足公務及一般民眾探索新知</w:t>
            </w:r>
            <w:r w:rsidR="00F92051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需求。</w:t>
            </w:r>
          </w:p>
          <w:p w:rsidR="00486EE3" w:rsidRPr="007B560B" w:rsidRDefault="00F92051" w:rsidP="00A5290B">
            <w:pPr>
              <w:pStyle w:val="a7"/>
              <w:numPr>
                <w:ilvl w:val="0"/>
                <w:numId w:val="17"/>
              </w:numPr>
              <w:spacing w:line="400" w:lineRule="exact"/>
              <w:ind w:leftChars="0" w:left="288" w:hanging="2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</w:rPr>
              <w:t>積極與公</w:t>
            </w:r>
            <w:r w:rsidR="006424B9" w:rsidRPr="007B560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B560B">
              <w:rPr>
                <w:rFonts w:ascii="標楷體" w:eastAsia="標楷體" w:hAnsi="標楷體" w:hint="eastAsia"/>
                <w:color w:val="000000" w:themeColor="text1"/>
              </w:rPr>
              <w:t>私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部門接洽合作辦理相關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活動，以提升本中心特色及知名度，預計辦理10場次，參觀人數400位。</w:t>
            </w:r>
          </w:p>
        </w:tc>
        <w:tc>
          <w:tcPr>
            <w:tcW w:w="634" w:type="pct"/>
            <w:vAlign w:val="center"/>
          </w:tcPr>
          <w:p w:rsidR="00163CE3" w:rsidRPr="007B560B" w:rsidRDefault="00163CE3" w:rsidP="00956A95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農學院</w:t>
            </w:r>
          </w:p>
          <w:p w:rsidR="00163CE3" w:rsidRPr="007B560B" w:rsidRDefault="00163CE3" w:rsidP="00956A95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(園藝技藝中心)</w:t>
            </w:r>
          </w:p>
        </w:tc>
      </w:tr>
      <w:tr w:rsidR="007B560B" w:rsidRPr="007B560B" w:rsidTr="00163CE3">
        <w:trPr>
          <w:jc w:val="center"/>
        </w:trPr>
        <w:tc>
          <w:tcPr>
            <w:tcW w:w="492" w:type="pc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增加受贈收入</w:t>
            </w:r>
          </w:p>
        </w:tc>
        <w:tc>
          <w:tcPr>
            <w:tcW w:w="729" w:type="pc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精進募款策略，積極向企業、社會各界及校友募款，增裕財源</w:t>
            </w:r>
          </w:p>
        </w:tc>
        <w:tc>
          <w:tcPr>
            <w:tcW w:w="957" w:type="pct"/>
            <w:vAlign w:val="center"/>
          </w:tcPr>
          <w:p w:rsidR="00163CE3" w:rsidRPr="007B560B" w:rsidRDefault="00163CE3" w:rsidP="00DE21F0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積極參與校友會活動並賡續推動各項募款專案</w:t>
            </w:r>
          </w:p>
        </w:tc>
        <w:tc>
          <w:tcPr>
            <w:tcW w:w="2188" w:type="pct"/>
            <w:vAlign w:val="center"/>
          </w:tcPr>
          <w:p w:rsidR="00E75319" w:rsidRPr="007B560B" w:rsidRDefault="00E75319" w:rsidP="00A5290B">
            <w:pPr>
              <w:pStyle w:val="a7"/>
              <w:numPr>
                <w:ilvl w:val="0"/>
                <w:numId w:val="18"/>
              </w:numPr>
              <w:spacing w:line="400" w:lineRule="exact"/>
              <w:ind w:leftChars="0" w:left="260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配合出席各校(系)友會相關活動進行募款，以16場次為原則。</w:t>
            </w:r>
          </w:p>
          <w:p w:rsidR="00E75319" w:rsidRPr="007B560B" w:rsidRDefault="00E75319" w:rsidP="00A5290B">
            <w:pPr>
              <w:pStyle w:val="a7"/>
              <w:numPr>
                <w:ilvl w:val="0"/>
                <w:numId w:val="18"/>
              </w:numPr>
              <w:spacing w:line="400" w:lineRule="exact"/>
              <w:ind w:leftChars="0" w:left="260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推動感人及主題式募款專案，以1案為原則。</w:t>
            </w:r>
          </w:p>
          <w:p w:rsidR="00163CE3" w:rsidRPr="007B560B" w:rsidRDefault="00E75319" w:rsidP="00A5290B">
            <w:pPr>
              <w:pStyle w:val="a7"/>
              <w:numPr>
                <w:ilvl w:val="0"/>
                <w:numId w:val="18"/>
              </w:numPr>
              <w:spacing w:line="400" w:lineRule="exact"/>
              <w:ind w:leftChars="0" w:left="260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彙編捐贈芳名錄刊登於本校刊物，以2次為原則。</w:t>
            </w:r>
          </w:p>
        </w:tc>
        <w:tc>
          <w:tcPr>
            <w:tcW w:w="634" w:type="pct"/>
            <w:vAlign w:val="center"/>
          </w:tcPr>
          <w:p w:rsidR="00163CE3" w:rsidRPr="007B560B" w:rsidRDefault="00163CE3" w:rsidP="00956A95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校友中心</w:t>
            </w:r>
          </w:p>
        </w:tc>
      </w:tr>
      <w:tr w:rsidR="007B560B" w:rsidRPr="007B560B" w:rsidTr="00163CE3">
        <w:trPr>
          <w:jc w:val="center"/>
        </w:trPr>
        <w:tc>
          <w:tcPr>
            <w:tcW w:w="492" w:type="pc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增加投資取得之收益</w:t>
            </w:r>
          </w:p>
        </w:tc>
        <w:tc>
          <w:tcPr>
            <w:tcW w:w="729" w:type="pct"/>
            <w:vAlign w:val="center"/>
          </w:tcPr>
          <w:p w:rsidR="00163CE3" w:rsidRPr="007B560B" w:rsidRDefault="00163CE3" w:rsidP="009563F1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擬訂校務基金年度投資規劃及執行各項投資評量與決策，增加收益</w:t>
            </w:r>
          </w:p>
        </w:tc>
        <w:tc>
          <w:tcPr>
            <w:tcW w:w="957" w:type="pct"/>
            <w:vAlign w:val="center"/>
          </w:tcPr>
          <w:p w:rsidR="00163CE3" w:rsidRPr="007B560B" w:rsidRDefault="00163CE3" w:rsidP="00715692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="00715692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投資取得之收益收支管理要點辦理各項投資暨孳息收益</w:t>
            </w:r>
          </w:p>
        </w:tc>
        <w:tc>
          <w:tcPr>
            <w:tcW w:w="2188" w:type="pct"/>
            <w:vAlign w:val="center"/>
          </w:tcPr>
          <w:p w:rsidR="00163CE3" w:rsidRPr="007B560B" w:rsidRDefault="00D108D0" w:rsidP="00214345">
            <w:pPr>
              <w:pStyle w:val="a7"/>
              <w:numPr>
                <w:ilvl w:val="0"/>
                <w:numId w:val="8"/>
              </w:numPr>
              <w:spacing w:line="400" w:lineRule="exact"/>
              <w:ind w:leftChars="0" w:left="260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111年</w:t>
            </w:r>
            <w:r w:rsidR="000C635C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度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郵局2年期</w:t>
            </w:r>
            <w:r w:rsidR="000D7ABE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定存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利息</w:t>
            </w:r>
            <w:r w:rsidR="000D7ABE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收入</w:t>
            </w:r>
            <w:r w:rsidR="00E75319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約</w:t>
            </w:r>
            <w:r w:rsidR="000D7ABE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D7ABE" w:rsidRPr="007B560B">
              <w:rPr>
                <w:rFonts w:ascii="標楷體" w:eastAsia="標楷體" w:hAnsi="標楷體"/>
                <w:color w:val="000000" w:themeColor="text1"/>
                <w:szCs w:val="24"/>
              </w:rPr>
              <w:t>,4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0D7ABE" w:rsidRPr="007B560B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="000D7ABE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萬。</w:t>
            </w:r>
          </w:p>
          <w:p w:rsidR="000D7ABE" w:rsidRPr="007B560B" w:rsidRDefault="000D7ABE" w:rsidP="00D108D0">
            <w:pPr>
              <w:pStyle w:val="a7"/>
              <w:numPr>
                <w:ilvl w:val="0"/>
                <w:numId w:val="8"/>
              </w:numPr>
              <w:spacing w:line="400" w:lineRule="exact"/>
              <w:ind w:leftChars="0" w:left="260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長期有價證券投資</w:t>
            </w:r>
            <w:r w:rsidR="00D108D0">
              <w:rPr>
                <w:rFonts w:ascii="標楷體" w:eastAsia="標楷體" w:hAnsi="標楷體" w:hint="eastAsia"/>
                <w:color w:val="000000" w:themeColor="text1"/>
                <w:szCs w:val="24"/>
              </w:rPr>
              <w:t>於111年度之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年化收益或股息現金殖利率高於已投資金額2.5%為原則。</w:t>
            </w:r>
          </w:p>
        </w:tc>
        <w:tc>
          <w:tcPr>
            <w:tcW w:w="634" w:type="pct"/>
            <w:vAlign w:val="center"/>
          </w:tcPr>
          <w:p w:rsidR="00163CE3" w:rsidRPr="007B560B" w:rsidRDefault="00163CE3" w:rsidP="00956A95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</w:p>
        </w:tc>
      </w:tr>
    </w:tbl>
    <w:p w:rsidR="0001410D" w:rsidRPr="007B560B" w:rsidRDefault="00367EAF" w:rsidP="00054820">
      <w:pPr>
        <w:pStyle w:val="a7"/>
        <w:numPr>
          <w:ilvl w:val="0"/>
          <w:numId w:val="2"/>
        </w:numPr>
        <w:spacing w:line="460" w:lineRule="exact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7B560B">
        <w:rPr>
          <w:rFonts w:ascii="標楷體" w:eastAsia="標楷體" w:hAnsi="標楷體"/>
          <w:color w:val="000000" w:themeColor="text1"/>
          <w:szCs w:val="24"/>
        </w:rPr>
        <w:t>節流措施</w:t>
      </w:r>
    </w:p>
    <w:tbl>
      <w:tblPr>
        <w:tblStyle w:val="ab"/>
        <w:tblW w:w="5224" w:type="pct"/>
        <w:jc w:val="center"/>
        <w:tblLook w:val="04A0" w:firstRow="1" w:lastRow="0" w:firstColumn="1" w:lastColumn="0" w:noHBand="0" w:noVBand="1"/>
      </w:tblPr>
      <w:tblGrid>
        <w:gridCol w:w="1015"/>
        <w:gridCol w:w="1477"/>
        <w:gridCol w:w="1897"/>
        <w:gridCol w:w="4368"/>
        <w:gridCol w:w="1302"/>
      </w:tblGrid>
      <w:tr w:rsidR="007B560B" w:rsidRPr="007B560B" w:rsidTr="00163CE3">
        <w:trPr>
          <w:trHeight w:val="20"/>
          <w:tblHeader/>
          <w:jc w:val="center"/>
        </w:trPr>
        <w:tc>
          <w:tcPr>
            <w:tcW w:w="1239" w:type="pct"/>
            <w:gridSpan w:val="2"/>
            <w:vAlign w:val="center"/>
          </w:tcPr>
          <w:p w:rsidR="00163CE3" w:rsidRPr="007B560B" w:rsidRDefault="00163CE3" w:rsidP="00CE19B8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推動原則</w:t>
            </w:r>
          </w:p>
        </w:tc>
        <w:tc>
          <w:tcPr>
            <w:tcW w:w="943" w:type="pct"/>
            <w:vAlign w:val="center"/>
          </w:tcPr>
          <w:p w:rsidR="00163CE3" w:rsidRPr="007B560B" w:rsidRDefault="00CA131E" w:rsidP="00CE19B8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131E">
              <w:rPr>
                <w:rFonts w:ascii="標楷體" w:eastAsia="標楷體" w:hAnsi="標楷體" w:hint="eastAsia"/>
                <w:color w:val="000000" w:themeColor="text1"/>
                <w:szCs w:val="24"/>
              </w:rPr>
              <w:t>執行措施</w:t>
            </w:r>
          </w:p>
        </w:tc>
        <w:tc>
          <w:tcPr>
            <w:tcW w:w="2171" w:type="pct"/>
            <w:vAlign w:val="center"/>
          </w:tcPr>
          <w:p w:rsidR="00163CE3" w:rsidRPr="007B560B" w:rsidRDefault="00163CE3" w:rsidP="00E9453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績效指標</w:t>
            </w:r>
          </w:p>
          <w:p w:rsidR="00163CE3" w:rsidRPr="007B560B" w:rsidRDefault="00163CE3" w:rsidP="00163CE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(請填寫量化績效指標如金額、件數、次數及百分比，無法量化者請填寫質性指標)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權責單位</w:t>
            </w:r>
          </w:p>
        </w:tc>
      </w:tr>
      <w:tr w:rsidR="007B560B" w:rsidRPr="007B560B" w:rsidTr="00163CE3">
        <w:trPr>
          <w:trHeight w:val="1246"/>
          <w:jc w:val="center"/>
        </w:trPr>
        <w:tc>
          <w:tcPr>
            <w:tcW w:w="505" w:type="pct"/>
            <w:vMerge w:val="restart"/>
            <w:vAlign w:val="center"/>
          </w:tcPr>
          <w:p w:rsidR="00163CE3" w:rsidRPr="007B560B" w:rsidRDefault="00163CE3" w:rsidP="00CE19B8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人事經費控管</w:t>
            </w:r>
          </w:p>
        </w:tc>
        <w:tc>
          <w:tcPr>
            <w:tcW w:w="734" w:type="pct"/>
            <w:vMerge w:val="restar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視校務發展調整組織架構，檢討單位編制員額，撙節人事費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28590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適時調整組織架構及主管員額</w:t>
            </w:r>
          </w:p>
        </w:tc>
        <w:tc>
          <w:tcPr>
            <w:tcW w:w="2171" w:type="pct"/>
            <w:vAlign w:val="center"/>
          </w:tcPr>
          <w:p w:rsidR="00CF736B" w:rsidRPr="007B560B" w:rsidRDefault="00CF736B" w:rsidP="00A5290B">
            <w:pPr>
              <w:pStyle w:val="a7"/>
              <w:numPr>
                <w:ilvl w:val="0"/>
                <w:numId w:val="26"/>
              </w:numPr>
              <w:spacing w:line="400" w:lineRule="exact"/>
              <w:ind w:leftChars="0" w:left="260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依校務發展推動情形，適時檢討</w:t>
            </w:r>
            <w:r w:rsidR="007473E0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各單位間有無整併、裁撤之需要，以達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組織規模合理性，提高行政效能</w:t>
            </w:r>
            <w:r w:rsidR="007473E0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CF736B" w:rsidRPr="007B560B" w:rsidRDefault="00CF736B" w:rsidP="00A5290B">
            <w:pPr>
              <w:pStyle w:val="a7"/>
              <w:numPr>
                <w:ilvl w:val="0"/>
                <w:numId w:val="26"/>
              </w:numPr>
              <w:spacing w:line="400" w:lineRule="exact"/>
              <w:ind w:leftChars="0" w:left="260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即時增修人事規章，建構健全合理人事制度。</w:t>
            </w:r>
          </w:p>
          <w:p w:rsidR="00163CE3" w:rsidRPr="007B560B" w:rsidRDefault="00CF736B" w:rsidP="00A5290B">
            <w:pPr>
              <w:pStyle w:val="a7"/>
              <w:numPr>
                <w:ilvl w:val="0"/>
                <w:numId w:val="26"/>
              </w:numPr>
              <w:spacing w:line="400" w:lineRule="exact"/>
              <w:ind w:leftChars="0" w:left="260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111年預計</w:t>
            </w:r>
            <w:r w:rsidR="007473E0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以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不新增主管員額為原則。</w:t>
            </w:r>
          </w:p>
        </w:tc>
        <w:tc>
          <w:tcPr>
            <w:tcW w:w="647" w:type="pct"/>
            <w:vMerge w:val="restart"/>
            <w:vAlign w:val="center"/>
          </w:tcPr>
          <w:p w:rsidR="00163CE3" w:rsidRPr="007B560B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人事室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CE19B8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7B560B" w:rsidRDefault="00163CE3" w:rsidP="0028590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合理管控專案人員員額</w:t>
            </w:r>
          </w:p>
        </w:tc>
        <w:tc>
          <w:tcPr>
            <w:tcW w:w="2171" w:type="pct"/>
            <w:vAlign w:val="center"/>
          </w:tcPr>
          <w:p w:rsidR="00CF736B" w:rsidRPr="007B560B" w:rsidRDefault="00CF736B" w:rsidP="00A5290B">
            <w:pPr>
              <w:pStyle w:val="a7"/>
              <w:numPr>
                <w:ilvl w:val="0"/>
                <w:numId w:val="27"/>
              </w:numPr>
              <w:spacing w:line="400" w:lineRule="exact"/>
              <w:ind w:leftChars="0" w:left="320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賡續依本校109年9月5日行政人力配置檢討研議小組會議決議，控管相關人力</w:t>
            </w:r>
            <w:r w:rsidR="00F513F9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163CE3" w:rsidRPr="007B560B" w:rsidRDefault="00CF736B" w:rsidP="00A5290B">
            <w:pPr>
              <w:pStyle w:val="a7"/>
              <w:numPr>
                <w:ilvl w:val="0"/>
                <w:numId w:val="27"/>
              </w:numPr>
              <w:spacing w:line="400" w:lineRule="exact"/>
              <w:ind w:leftChars="0" w:left="260" w:hanging="2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111年預計不新增行政人力。</w:t>
            </w:r>
          </w:p>
        </w:tc>
        <w:tc>
          <w:tcPr>
            <w:tcW w:w="647" w:type="pct"/>
            <w:vMerge/>
            <w:vAlign w:val="center"/>
          </w:tcPr>
          <w:p w:rsidR="00163CE3" w:rsidRPr="007B560B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CE19B8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嚴謹控管教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師人數及開課容量，發展大班協同教學，撙節教學成本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E603C8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管制開課容量，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鼓勵大班授課或協同教學</w:t>
            </w:r>
          </w:p>
        </w:tc>
        <w:tc>
          <w:tcPr>
            <w:tcW w:w="2171" w:type="pct"/>
            <w:vAlign w:val="center"/>
          </w:tcPr>
          <w:p w:rsidR="00B26136" w:rsidRPr="007B560B" w:rsidRDefault="003F78FC" w:rsidP="00A5290B">
            <w:pPr>
              <w:pStyle w:val="a7"/>
              <w:numPr>
                <w:ilvl w:val="0"/>
                <w:numId w:val="28"/>
              </w:numPr>
              <w:spacing w:line="400" w:lineRule="exact"/>
              <w:ind w:leftChars="0" w:left="320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依本校開排課相關規定，持續要求各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系遵守</w:t>
            </w:r>
            <w:r w:rsidR="00610148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度</w:t>
            </w:r>
            <w:r w:rsidR="00610148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開課總量上限規範。</w:t>
            </w:r>
          </w:p>
          <w:p w:rsidR="00163CE3" w:rsidRPr="007B560B" w:rsidRDefault="00610148" w:rsidP="00A5290B">
            <w:pPr>
              <w:pStyle w:val="a7"/>
              <w:numPr>
                <w:ilvl w:val="0"/>
                <w:numId w:val="28"/>
              </w:numPr>
              <w:spacing w:line="400" w:lineRule="exact"/>
              <w:ind w:leftChars="0" w:left="320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依本校教師授課鐘點核計作業要點規定，大班授課之課程，授課鐘點予以加權計算，以提升教師大班授課之意願。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教務處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CE19B8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7B560B" w:rsidRDefault="00163CE3" w:rsidP="00E603C8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撙節教師鐘點費支出</w:t>
            </w:r>
          </w:p>
        </w:tc>
        <w:tc>
          <w:tcPr>
            <w:tcW w:w="2171" w:type="pct"/>
            <w:vAlign w:val="center"/>
          </w:tcPr>
          <w:p w:rsidR="005F7E8B" w:rsidRPr="007B560B" w:rsidRDefault="003C42EE" w:rsidP="00A5290B">
            <w:pPr>
              <w:pStyle w:val="a7"/>
              <w:numPr>
                <w:ilvl w:val="0"/>
                <w:numId w:val="29"/>
              </w:numPr>
              <w:spacing w:line="400" w:lineRule="exact"/>
              <w:ind w:leftChars="0" w:left="320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</w:t>
            </w:r>
            <w:r w:rsidR="00610148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依本校教師授課鐘點核計作業要點規定</w:t>
            </w:r>
            <w:r w:rsidR="005F7E8B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規範教師授課時數及超支鐘點時數。</w:t>
            </w:r>
          </w:p>
          <w:p w:rsidR="00163CE3" w:rsidRPr="007B560B" w:rsidRDefault="00610148" w:rsidP="00A5290B">
            <w:pPr>
              <w:pStyle w:val="a7"/>
              <w:numPr>
                <w:ilvl w:val="0"/>
                <w:numId w:val="29"/>
              </w:numPr>
              <w:spacing w:line="400" w:lineRule="exact"/>
              <w:ind w:leftChars="0" w:left="320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選課人數未達開課門檻之課程，應於加退選截止後停開課程，且課程停開前專任教師授課鐘點費不予核發。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教務處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妥適運用人力，定期、庶務性工作以勞務外包或僱用臨時工為原則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9B5A82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辦理業務委託或勞務外包事宜</w:t>
            </w:r>
          </w:p>
        </w:tc>
        <w:tc>
          <w:tcPr>
            <w:tcW w:w="2171" w:type="pct"/>
            <w:vAlign w:val="center"/>
          </w:tcPr>
          <w:p w:rsidR="000D7ABE" w:rsidRPr="007B560B" w:rsidRDefault="00D91704" w:rsidP="00A5290B">
            <w:pPr>
              <w:pStyle w:val="a7"/>
              <w:numPr>
                <w:ilvl w:val="0"/>
                <w:numId w:val="30"/>
              </w:numPr>
              <w:spacing w:line="400" w:lineRule="exact"/>
              <w:ind w:leftChars="0" w:left="320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遇</w:t>
            </w:r>
            <w:r w:rsidR="000D7ABE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校園綠美化業務技工工友退休，以增加年度外包員額為替代方案，其餘視經費</w:t>
            </w:r>
            <w:r w:rsidR="00416230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情形</w:t>
            </w:r>
            <w:r w:rsidR="000D7ABE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以全時工讀生替代</w:t>
            </w:r>
            <w:r w:rsidR="00EA6C17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，以達優質節約</w:t>
            </w:r>
            <w:r w:rsidR="000D7ABE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163CE3" w:rsidRPr="007B560B" w:rsidRDefault="000D7ABE" w:rsidP="00A5290B">
            <w:pPr>
              <w:pStyle w:val="a7"/>
              <w:numPr>
                <w:ilvl w:val="0"/>
                <w:numId w:val="30"/>
              </w:numPr>
              <w:spacing w:line="400" w:lineRule="exact"/>
              <w:ind w:leftChars="0" w:left="320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招待所勞務委外人力維持</w:t>
            </w:r>
            <w:r w:rsidR="006615BF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416230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人，經費約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45</w:t>
            </w:r>
            <w:r w:rsidR="00EA6C17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加班及出差核派應嚴謹，並核實支給費用，撙節支出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B91F3E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加班以補休為原則並依本校相關差勤及支出標準規定辦理</w:t>
            </w:r>
          </w:p>
        </w:tc>
        <w:tc>
          <w:tcPr>
            <w:tcW w:w="2171" w:type="pct"/>
            <w:vAlign w:val="center"/>
          </w:tcPr>
          <w:p w:rsidR="00163CE3" w:rsidRPr="007B560B" w:rsidRDefault="00163CE3" w:rsidP="00A5290B">
            <w:pPr>
              <w:pStyle w:val="a7"/>
              <w:numPr>
                <w:ilvl w:val="0"/>
                <w:numId w:val="12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加班費及差旅費總金額</w:t>
            </w:r>
            <w:r w:rsidR="006D7918">
              <w:rPr>
                <w:rFonts w:ascii="標楷體" w:eastAsia="標楷體" w:hAnsi="標楷體" w:hint="eastAsia"/>
                <w:color w:val="000000" w:themeColor="text1"/>
                <w:szCs w:val="24"/>
              </w:rPr>
              <w:t>以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不高於上年度支出</w:t>
            </w:r>
            <w:r w:rsidR="006D7918">
              <w:rPr>
                <w:rFonts w:ascii="標楷體" w:eastAsia="標楷體" w:hAnsi="標楷體" w:hint="eastAsia"/>
                <w:color w:val="000000" w:themeColor="text1"/>
                <w:szCs w:val="24"/>
              </w:rPr>
              <w:t>為原則</w:t>
            </w:r>
            <w:r w:rsidR="00E75319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E75319" w:rsidRPr="007B560B" w:rsidRDefault="00E75319" w:rsidP="00A5290B">
            <w:pPr>
              <w:pStyle w:val="a7"/>
              <w:numPr>
                <w:ilvl w:val="0"/>
                <w:numId w:val="12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奉派出席各地區校(系)友會會議以申請公務車接駁校內師長為原則，</w:t>
            </w:r>
            <w:r w:rsidR="006D7918">
              <w:rPr>
                <w:rFonts w:ascii="標楷體" w:eastAsia="標楷體" w:hAnsi="標楷體" w:hint="eastAsia"/>
                <w:color w:val="000000" w:themeColor="text1"/>
                <w:szCs w:val="24"/>
              </w:rPr>
              <w:t>以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撙節差旅費用支出。</w:t>
            </w:r>
          </w:p>
        </w:tc>
        <w:tc>
          <w:tcPr>
            <w:tcW w:w="647" w:type="pct"/>
            <w:vAlign w:val="center"/>
          </w:tcPr>
          <w:p w:rsidR="00163CE3" w:rsidRPr="007B560B" w:rsidRDefault="00115392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各一級單位、學院、校級附屬中心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63CE3" w:rsidRPr="007B560B" w:rsidRDefault="00163CE3" w:rsidP="007C11FA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合理聘用工讀生，核實報領工讀金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F23A9A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依本校學生工讀助學金實施要點辦理學生工讀助學金業務</w:t>
            </w:r>
          </w:p>
        </w:tc>
        <w:tc>
          <w:tcPr>
            <w:tcW w:w="2171" w:type="pct"/>
            <w:vAlign w:val="center"/>
          </w:tcPr>
          <w:p w:rsidR="00163CE3" w:rsidRPr="007B560B" w:rsidRDefault="00132592" w:rsidP="0013259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因每年時薪調漲，人事成本壓力大，鼓勵各單位減少僱用</w:t>
            </w:r>
            <w:r w:rsidR="006D7918">
              <w:rPr>
                <w:rFonts w:ascii="標楷體" w:eastAsia="標楷體" w:hAnsi="標楷體" w:hint="eastAsia"/>
                <w:color w:val="000000" w:themeColor="text1"/>
                <w:szCs w:val="24"/>
              </w:rPr>
              <w:t>工讀生人數，以降低保費支出，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並有效率安排工讀生之工作，將勞動力最大化。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E17E0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學生事務處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7B560B" w:rsidRDefault="00163CE3" w:rsidP="00F23A9A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定期依勞動契約書及工作守則考評工讀生及檢討聘用時數</w:t>
            </w:r>
          </w:p>
        </w:tc>
        <w:tc>
          <w:tcPr>
            <w:tcW w:w="2171" w:type="pct"/>
            <w:vAlign w:val="center"/>
          </w:tcPr>
          <w:p w:rsidR="007B560B" w:rsidRPr="007B560B" w:rsidRDefault="00163CE3" w:rsidP="005C2BE8">
            <w:pPr>
              <w:pStyle w:val="a7"/>
              <w:numPr>
                <w:ilvl w:val="0"/>
                <w:numId w:val="32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每月核實填寫工作日誌表</w:t>
            </w:r>
            <w:r w:rsidR="00CF72DB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及辦理工讀金核銷事宜。</w:t>
            </w:r>
          </w:p>
          <w:p w:rsidR="007B560B" w:rsidRDefault="00163CE3" w:rsidP="005C2BE8">
            <w:pPr>
              <w:pStyle w:val="a7"/>
              <w:numPr>
                <w:ilvl w:val="0"/>
                <w:numId w:val="32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工讀時數不高於上年度</w:t>
            </w:r>
            <w:r w:rsidR="00267453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或近4年平均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數量</w:t>
            </w:r>
            <w:r w:rsidR="00991B4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為原則</w:t>
            </w:r>
            <w:r w:rsidR="00CF72DB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91B46" w:rsidRPr="007B560B" w:rsidRDefault="00991B46" w:rsidP="005C2BE8">
            <w:pPr>
              <w:pStyle w:val="a7"/>
              <w:numPr>
                <w:ilvl w:val="0"/>
                <w:numId w:val="32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寒</w:t>
            </w:r>
            <w:r w:rsidR="00CF3469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暑假期間</w:t>
            </w:r>
            <w:r w:rsidR="00CF72DB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CF3469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視業務情形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調整工讀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生時數</w:t>
            </w:r>
            <w:r w:rsidR="003C368A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，或與其他單位合聘，以樽節</w:t>
            </w:r>
            <w:r w:rsidR="00CF72DB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支出提升經費使用效益。</w:t>
            </w:r>
          </w:p>
        </w:tc>
        <w:tc>
          <w:tcPr>
            <w:tcW w:w="647" w:type="pct"/>
            <w:vAlign w:val="center"/>
          </w:tcPr>
          <w:p w:rsidR="00163CE3" w:rsidRPr="007B560B" w:rsidRDefault="00115392" w:rsidP="00E17E0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各一級單位、學院、校級附屬中心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 w:val="restar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節能減碳</w:t>
            </w:r>
          </w:p>
        </w:tc>
        <w:tc>
          <w:tcPr>
            <w:tcW w:w="734" w:type="pct"/>
            <w:vMerge w:val="restar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爭取節能補助，以充實及改善相關設施，節省經費支出並達經濟效益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爭取空調冷氣設備節能補助</w:t>
            </w:r>
          </w:p>
        </w:tc>
        <w:tc>
          <w:tcPr>
            <w:tcW w:w="2171" w:type="pct"/>
            <w:vAlign w:val="center"/>
          </w:tcPr>
          <w:p w:rsidR="00163CE3" w:rsidRPr="004136E8" w:rsidRDefault="004136E8" w:rsidP="004136E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持續關注並積極爭取嘉義市政府或其他機關補助，汰換本校空調冷氣設備，提升能源使用效益</w:t>
            </w:r>
            <w:r w:rsidR="001615B6" w:rsidRPr="004136E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7" w:type="pct"/>
            <w:vMerge w:val="restart"/>
            <w:vAlign w:val="center"/>
          </w:tcPr>
          <w:p w:rsidR="00163CE3" w:rsidRPr="007B560B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爭取燈具照明設備節能補助</w:t>
            </w:r>
          </w:p>
        </w:tc>
        <w:tc>
          <w:tcPr>
            <w:tcW w:w="2171" w:type="pct"/>
            <w:vAlign w:val="center"/>
          </w:tcPr>
          <w:p w:rsidR="00163CE3" w:rsidRPr="004136E8" w:rsidRDefault="004136E8" w:rsidP="00185BE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36E8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持續關注並積極爭取嘉義市政府或其他機關補助，汰換本校</w:t>
            </w:r>
            <w:r w:rsidR="00185BE5">
              <w:rPr>
                <w:rFonts w:ascii="標楷體" w:eastAsia="標楷體" w:hAnsi="標楷體" w:hint="eastAsia"/>
                <w:color w:val="000000" w:themeColor="text1"/>
                <w:szCs w:val="24"/>
              </w:rPr>
              <w:t>燈具照明</w:t>
            </w:r>
            <w:r w:rsidRPr="004136E8">
              <w:rPr>
                <w:rFonts w:ascii="標楷體" w:eastAsia="標楷體" w:hAnsi="標楷體" w:hint="eastAsia"/>
                <w:color w:val="000000" w:themeColor="text1"/>
                <w:szCs w:val="24"/>
              </w:rPr>
              <w:t>設備，提升能源使用效益。</w:t>
            </w:r>
          </w:p>
        </w:tc>
        <w:tc>
          <w:tcPr>
            <w:tcW w:w="647" w:type="pct"/>
            <w:vMerge/>
            <w:vAlign w:val="center"/>
          </w:tcPr>
          <w:p w:rsidR="00163CE3" w:rsidRPr="007B560B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爭取其他節能設備補助</w:t>
            </w:r>
          </w:p>
        </w:tc>
        <w:tc>
          <w:tcPr>
            <w:tcW w:w="2171" w:type="pct"/>
            <w:vAlign w:val="center"/>
          </w:tcPr>
          <w:p w:rsidR="00185BE5" w:rsidRDefault="00185BE5" w:rsidP="00185BE5">
            <w:pPr>
              <w:pStyle w:val="a7"/>
              <w:numPr>
                <w:ilvl w:val="0"/>
                <w:numId w:val="36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36E8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持續關注並積極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各級</w:t>
            </w:r>
            <w:r w:rsidRPr="004136E8">
              <w:rPr>
                <w:rFonts w:ascii="標楷體" w:eastAsia="標楷體" w:hAnsi="標楷體" w:hint="eastAsia"/>
                <w:color w:val="000000" w:themeColor="text1"/>
                <w:szCs w:val="24"/>
              </w:rPr>
              <w:t>政府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機關</w:t>
            </w:r>
            <w:r w:rsidRPr="004136E8">
              <w:rPr>
                <w:rFonts w:ascii="標楷體" w:eastAsia="標楷體" w:hAnsi="標楷體" w:hint="eastAsia"/>
                <w:color w:val="000000" w:themeColor="text1"/>
                <w:szCs w:val="24"/>
              </w:rPr>
              <w:t>補助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，提升本校能源管理設備。</w:t>
            </w:r>
          </w:p>
          <w:p w:rsidR="00163CE3" w:rsidRPr="007B560B" w:rsidRDefault="00CF72DB" w:rsidP="00185BE5">
            <w:pPr>
              <w:pStyle w:val="a7"/>
              <w:numPr>
                <w:ilvl w:val="0"/>
                <w:numId w:val="36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預計111年度執行</w:t>
            </w:r>
            <w:r w:rsidR="001615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水利署補助本校水資源管理系統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</w:t>
            </w:r>
            <w:r w:rsidR="001615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</w:t>
            </w:r>
            <w:r w:rsidR="001615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7" w:type="pct"/>
            <w:vMerge/>
            <w:vAlign w:val="center"/>
          </w:tcPr>
          <w:p w:rsidR="00163CE3" w:rsidRPr="007B560B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成立相關節流業務編組，研擬各項節能方案與推動作法，以節約水、電、電信及油料等支出，並定期檢討實施成效及適時調整作為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持續推動校內節水、節油、節電措施</w:t>
            </w:r>
          </w:p>
        </w:tc>
        <w:tc>
          <w:tcPr>
            <w:tcW w:w="2171" w:type="pct"/>
            <w:vAlign w:val="center"/>
          </w:tcPr>
          <w:p w:rsidR="00163CE3" w:rsidRPr="007B560B" w:rsidRDefault="00E9654F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節水、節油及節電以</w:t>
            </w:r>
            <w:r w:rsidR="00A14913">
              <w:rPr>
                <w:rFonts w:ascii="標楷體" w:eastAsia="標楷體" w:hAnsi="標楷體" w:hint="eastAsia"/>
                <w:color w:val="000000" w:themeColor="text1"/>
                <w:szCs w:val="24"/>
              </w:rPr>
              <w:t>較110</w:t>
            </w:r>
            <w:r w:rsidR="00036D34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</w:t>
            </w:r>
            <w:r w:rsidR="00A14913">
              <w:rPr>
                <w:rFonts w:ascii="標楷體" w:eastAsia="標楷體" w:hAnsi="標楷體" w:hint="eastAsia"/>
                <w:color w:val="000000" w:themeColor="text1"/>
                <w:szCs w:val="24"/>
              </w:rPr>
              <w:t>支出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各節省1％為目標。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E17E0B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環安中心(節約能源小組)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7B560B" w:rsidRDefault="00163CE3" w:rsidP="004B3773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持續清查及裁減閒置電信號碼</w:t>
            </w:r>
          </w:p>
        </w:tc>
        <w:tc>
          <w:tcPr>
            <w:tcW w:w="2171" w:type="pct"/>
            <w:vAlign w:val="center"/>
          </w:tcPr>
          <w:p w:rsidR="00163CE3" w:rsidRPr="007B560B" w:rsidRDefault="00CC32B6" w:rsidP="00CC32B6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賡續</w:t>
            </w:r>
            <w:r w:rsidR="002E28DF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通知各單位系所清查閒置門號並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受理</w:t>
            </w:r>
            <w:r w:rsidR="001615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</w:t>
            </w:r>
            <w:r w:rsidR="002E28DF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裁減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業務，以提升</w:t>
            </w:r>
            <w:r w:rsidR="008A21CB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資源使用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效益</w:t>
            </w:r>
            <w:r w:rsidR="002E28DF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E17E0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7B560B" w:rsidRDefault="00163CE3" w:rsidP="004B377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持續辦理市內電話通話6分鐘管制</w:t>
            </w:r>
          </w:p>
        </w:tc>
        <w:tc>
          <w:tcPr>
            <w:tcW w:w="2171" w:type="pct"/>
            <w:vAlign w:val="center"/>
          </w:tcPr>
          <w:p w:rsidR="001615B6" w:rsidRPr="007B560B" w:rsidRDefault="00E953F9" w:rsidP="006C27B9">
            <w:pPr>
              <w:pStyle w:val="a7"/>
              <w:numPr>
                <w:ilvl w:val="0"/>
                <w:numId w:val="37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賡續管制</w:t>
            </w:r>
            <w:r w:rsidR="001615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</w:t>
            </w:r>
            <w:r w:rsid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室內</w:t>
            </w:r>
            <w:r w:rsidR="001615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電話通話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每通</w:t>
            </w:r>
            <w:r w:rsidR="001615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以6分鐘為原則，</w:t>
            </w:r>
            <w:r w:rsid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特殊原因者</w:t>
            </w:r>
            <w:r w:rsidR="001615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須簽陳校長同意</w:t>
            </w:r>
            <w:r w:rsidR="001615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後解除限制。</w:t>
            </w:r>
          </w:p>
          <w:p w:rsidR="00163CE3" w:rsidRPr="007B560B" w:rsidRDefault="006C27B9" w:rsidP="006C27B9">
            <w:pPr>
              <w:pStyle w:val="a7"/>
              <w:numPr>
                <w:ilvl w:val="0"/>
                <w:numId w:val="37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="001615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111年全年電話費比110年節省3萬元為目標。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7D6B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推動辦公室及會議無紙化，以E化系統取代紙本作業，提高行政效率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推動無紙化</w:t>
            </w:r>
            <w:r w:rsidR="000A7222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</w:t>
            </w:r>
            <w:r w:rsidR="000A7222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495178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手冊</w:t>
            </w:r>
            <w:r w:rsidR="000A7222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及證件</w:t>
            </w:r>
          </w:p>
        </w:tc>
        <w:tc>
          <w:tcPr>
            <w:tcW w:w="2171" w:type="pct"/>
            <w:vAlign w:val="center"/>
          </w:tcPr>
          <w:p w:rsidR="006C27B9" w:rsidRPr="006C27B9" w:rsidRDefault="00163CE3" w:rsidP="006C27B9">
            <w:pPr>
              <w:pStyle w:val="a7"/>
              <w:numPr>
                <w:ilvl w:val="0"/>
                <w:numId w:val="39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會議以無紙化方式(除涉及保密事項外)辦理達70%以上。</w:t>
            </w:r>
          </w:p>
          <w:p w:rsidR="006C27B9" w:rsidRDefault="00495178" w:rsidP="006C27B9">
            <w:pPr>
              <w:pStyle w:val="a7"/>
              <w:numPr>
                <w:ilvl w:val="0"/>
                <w:numId w:val="39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各類手冊(</w:t>
            </w:r>
            <w:r w:rsidR="00304698">
              <w:rPr>
                <w:rFonts w:ascii="標楷體" w:eastAsia="標楷體" w:hAnsi="標楷體" w:hint="eastAsia"/>
                <w:color w:val="000000" w:themeColor="text1"/>
                <w:szCs w:val="24"/>
              </w:rPr>
              <w:t>如</w:t>
            </w:r>
            <w:r w:rsidR="005A0905"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新生、</w:t>
            </w:r>
            <w:r w:rsidR="00304698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</w:t>
            </w:r>
            <w:r w:rsidR="005A0905"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</w:t>
            </w:r>
            <w:r w:rsidR="007925F4"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及活動</w:t>
            </w:r>
            <w:r w:rsidR="005A0905"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手冊等)</w:t>
            </w:r>
            <w:r w:rsidR="000A7222"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及證件(如通行證</w:t>
            </w:r>
            <w:r w:rsidR="007925F4"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  <w:r w:rsidR="000A7222"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717C0E"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以</w:t>
            </w:r>
            <w:r w:rsidR="000A7222"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無紙</w:t>
            </w:r>
            <w:r w:rsidR="002F0AA8"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化</w:t>
            </w:r>
            <w:r w:rsidR="005A0905"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為原則</w:t>
            </w:r>
            <w:r w:rsidR="002F0AA8"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163CE3" w:rsidRPr="006C27B9" w:rsidRDefault="00163CE3" w:rsidP="006C27B9">
            <w:pPr>
              <w:pStyle w:val="a7"/>
              <w:numPr>
                <w:ilvl w:val="0"/>
                <w:numId w:val="39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單位採購用紙經費</w:t>
            </w:r>
            <w:r w:rsidR="006905BD"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以</w:t>
            </w:r>
            <w:r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不高於上年度支出</w:t>
            </w:r>
            <w:r w:rsidR="006905BD"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為原則</w:t>
            </w:r>
            <w:r w:rsidRPr="006C27B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7" w:type="pct"/>
            <w:vAlign w:val="center"/>
          </w:tcPr>
          <w:p w:rsidR="00163CE3" w:rsidRPr="007B560B" w:rsidRDefault="00B4280A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各一級單位、學院、校級附屬中心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配合本校各單位新增需求，持續進行校務行政系統(WEB版本)之功能增修及效能提升(例行性工作)</w:t>
            </w:r>
          </w:p>
        </w:tc>
        <w:tc>
          <w:tcPr>
            <w:tcW w:w="2171" w:type="pct"/>
            <w:vAlign w:val="center"/>
          </w:tcPr>
          <w:p w:rsidR="00163CE3" w:rsidRPr="007B560B" w:rsidRDefault="00215576" w:rsidP="0021557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校務行政系統WEB版本之資訊服務可用性要求達全年上班時間93%以上</w:t>
            </w:r>
            <w:r w:rsidR="00E47AA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電算中心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7B560B" w:rsidRDefault="00163CE3" w:rsidP="002E7B63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辦理電子公文系統，降低紙本列印數量及郵寄費用</w:t>
            </w:r>
          </w:p>
        </w:tc>
        <w:tc>
          <w:tcPr>
            <w:tcW w:w="2171" w:type="pct"/>
            <w:vAlign w:val="center"/>
          </w:tcPr>
          <w:p w:rsidR="00163CE3" w:rsidRPr="007B560B" w:rsidRDefault="004F047D" w:rsidP="00FA31D4">
            <w:pPr>
              <w:pStyle w:val="a7"/>
              <w:numPr>
                <w:ilvl w:val="0"/>
                <w:numId w:val="40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總發文以電子發文方式辦理，電子發文效益達90%以上。</w:t>
            </w:r>
          </w:p>
          <w:p w:rsidR="004F047D" w:rsidRPr="007B560B" w:rsidRDefault="004F047D" w:rsidP="00FA31D4">
            <w:pPr>
              <w:pStyle w:val="a7"/>
              <w:numPr>
                <w:ilvl w:val="0"/>
                <w:numId w:val="40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公文以線上簽核方式辦理，線上簽核比率達75%以上。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落實資源回收再利用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0C5A47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辦理資源及廢液回收出售，增裕收入</w:t>
            </w:r>
          </w:p>
        </w:tc>
        <w:tc>
          <w:tcPr>
            <w:tcW w:w="2171" w:type="pct"/>
            <w:vAlign w:val="center"/>
          </w:tcPr>
          <w:p w:rsidR="00AF61FC" w:rsidRDefault="00AF61FC" w:rsidP="00AF61FC">
            <w:pPr>
              <w:pStyle w:val="a7"/>
              <w:numPr>
                <w:ilvl w:val="0"/>
                <w:numId w:val="42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賡續</w:t>
            </w:r>
            <w:r w:rsidR="00FE2411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辦理校園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廢棄</w:t>
            </w:r>
            <w:r w:rsidR="00FE2411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資源、廚餘、廢液回收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</w:t>
            </w:r>
            <w:r w:rsidR="00FE2411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提升節能減碳效益。</w:t>
            </w:r>
          </w:p>
          <w:p w:rsidR="00163CE3" w:rsidRPr="007B560B" w:rsidRDefault="00FE2411" w:rsidP="00AF61FC">
            <w:pPr>
              <w:pStyle w:val="a7"/>
              <w:numPr>
                <w:ilvl w:val="0"/>
                <w:numId w:val="42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有價回收物由</w:t>
            </w:r>
            <w:r w:rsidR="00AF61FC">
              <w:rPr>
                <w:rFonts w:ascii="標楷體" w:eastAsia="標楷體" w:hAnsi="標楷體" w:hint="eastAsia"/>
                <w:color w:val="000000" w:themeColor="text1"/>
                <w:szCs w:val="24"/>
              </w:rPr>
              <w:t>廠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商過磅依市價收購</w:t>
            </w:r>
            <w:r w:rsidR="00AF61F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回收重量及收入以年成長1％為目標。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環安中心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7B560B" w:rsidRDefault="00163CE3" w:rsidP="003D0EE9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辦理報廢品標售，增裕收入</w:t>
            </w:r>
          </w:p>
        </w:tc>
        <w:tc>
          <w:tcPr>
            <w:tcW w:w="2171" w:type="pct"/>
            <w:vAlign w:val="center"/>
          </w:tcPr>
          <w:p w:rsidR="00392154" w:rsidRDefault="00392154" w:rsidP="00392154">
            <w:pPr>
              <w:pStyle w:val="a7"/>
              <w:numPr>
                <w:ilvl w:val="0"/>
                <w:numId w:val="45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賡續</w:t>
            </w:r>
            <w:r w:rsidR="001615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財物</w:t>
            </w:r>
            <w:r w:rsidR="001615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報廢品標售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</w:t>
            </w:r>
            <w:r w:rsidR="001615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提升節能減碳效益。</w:t>
            </w:r>
          </w:p>
          <w:p w:rsidR="00163CE3" w:rsidRPr="007B560B" w:rsidRDefault="00392154" w:rsidP="00392154">
            <w:pPr>
              <w:pStyle w:val="a7"/>
              <w:numPr>
                <w:ilvl w:val="0"/>
                <w:numId w:val="45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報廢品標售預計</w:t>
            </w:r>
            <w:r w:rsidR="001615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收入20萬元。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 w:val="restar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工程與財物採購</w:t>
            </w:r>
          </w:p>
        </w:tc>
        <w:tc>
          <w:tcPr>
            <w:tcW w:w="734" w:type="pct"/>
            <w:vMerge w:val="restar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新購財物與興建工程，應審慎評估整體成本效益及後續維護費用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E00AB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興建場館</w:t>
            </w:r>
            <w:r w:rsidR="002664B5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(5</w:t>
            </w:r>
            <w:r w:rsidR="002664B5" w:rsidRPr="007B560B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="002664B5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000萬以上)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應依本校中程校務發展計畫推動並</w:t>
            </w:r>
            <w:r w:rsidR="00E00ABD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先經校務發展委員會、校務基金管理委員會及校園規劃小組審議通過</w:t>
            </w:r>
          </w:p>
        </w:tc>
        <w:tc>
          <w:tcPr>
            <w:tcW w:w="2171" w:type="pct"/>
            <w:vAlign w:val="center"/>
          </w:tcPr>
          <w:p w:rsidR="00E869EA" w:rsidRPr="007B560B" w:rsidRDefault="00E00ABD" w:rsidP="00812214">
            <w:pPr>
              <w:pStyle w:val="a7"/>
              <w:numPr>
                <w:ilvl w:val="0"/>
                <w:numId w:val="46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依校園規劃小組、校務基金管理委員會及校務發展委員會任務，協助提案單位完成校園建設規劃、校務基金運用、重要校務推展運作等之建議或審議。</w:t>
            </w:r>
          </w:p>
          <w:p w:rsidR="00163CE3" w:rsidRPr="007B560B" w:rsidRDefault="00E00ABD" w:rsidP="00812214">
            <w:pPr>
              <w:pStyle w:val="a7"/>
              <w:numPr>
                <w:ilvl w:val="0"/>
                <w:numId w:val="46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每學期召開校園規劃小組、校務基金管理委員會及校務發展委員會至少5次為原則。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7C6376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研究發展處</w:t>
            </w:r>
          </w:p>
        </w:tc>
      </w:tr>
      <w:tr w:rsidR="007B560B" w:rsidRPr="007B560B" w:rsidTr="00FB293B">
        <w:trPr>
          <w:trHeight w:val="507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7B560B" w:rsidRDefault="00163CE3" w:rsidP="00ED043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依政府採購法及本校採購作業要點，採購合宜財物</w:t>
            </w:r>
          </w:p>
        </w:tc>
        <w:tc>
          <w:tcPr>
            <w:tcW w:w="2171" w:type="pct"/>
            <w:vAlign w:val="center"/>
          </w:tcPr>
          <w:p w:rsidR="00163CE3" w:rsidRPr="00FB293B" w:rsidRDefault="00163CE3" w:rsidP="00FB293B">
            <w:pPr>
              <w:pStyle w:val="a7"/>
              <w:numPr>
                <w:ilvl w:val="0"/>
                <w:numId w:val="47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293B">
              <w:rPr>
                <w:rFonts w:ascii="標楷體" w:eastAsia="標楷體" w:hAnsi="標楷體" w:hint="eastAsia"/>
                <w:color w:val="000000" w:themeColor="text1"/>
                <w:szCs w:val="24"/>
              </w:rPr>
              <w:t>10萬元以上採購案件應先經校長核可後</w:t>
            </w:r>
            <w:r w:rsidR="001615B6" w:rsidRPr="00FB293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，由本校採購權責單位依照政府採購法辦理採購。</w:t>
            </w:r>
          </w:p>
          <w:p w:rsidR="00163CE3" w:rsidRPr="00FB293B" w:rsidRDefault="001615B6" w:rsidP="00FB293B">
            <w:pPr>
              <w:pStyle w:val="a7"/>
              <w:numPr>
                <w:ilvl w:val="0"/>
                <w:numId w:val="47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293B">
              <w:rPr>
                <w:rFonts w:ascii="標楷體" w:eastAsia="標楷體" w:hAnsi="標楷體" w:hint="eastAsia"/>
                <w:color w:val="000000" w:themeColor="text1"/>
                <w:szCs w:val="24"/>
              </w:rPr>
              <w:t>10萬元以下採購案件，授權各一級單</w:t>
            </w:r>
            <w:r w:rsidRPr="00FB293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位主管核可後辦理採購。</w:t>
            </w:r>
          </w:p>
        </w:tc>
        <w:tc>
          <w:tcPr>
            <w:tcW w:w="647" w:type="pct"/>
            <w:vAlign w:val="center"/>
          </w:tcPr>
          <w:p w:rsidR="00163CE3" w:rsidRPr="007B560B" w:rsidRDefault="00B4280A" w:rsidP="00ED0436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各一級單位、學院、校級附屬中心</w:t>
            </w:r>
          </w:p>
        </w:tc>
      </w:tr>
      <w:tr w:rsidR="007B560B" w:rsidRPr="007B560B" w:rsidTr="0051761C">
        <w:trPr>
          <w:trHeight w:val="2258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63CE3" w:rsidRPr="007B560B" w:rsidRDefault="00163CE3" w:rsidP="00D16DDA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大宗共同使用的財物，宜集中採購以量制價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F03A7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適時調查各單位大宗採購需求，相同標的宜合併依共同供應契約辦理採購</w:t>
            </w:r>
          </w:p>
        </w:tc>
        <w:tc>
          <w:tcPr>
            <w:tcW w:w="2171" w:type="pct"/>
            <w:vAlign w:val="center"/>
          </w:tcPr>
          <w:p w:rsidR="00163CE3" w:rsidRPr="007B560B" w:rsidRDefault="00846746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因</w:t>
            </w:r>
            <w:r w:rsidR="001615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每年度列為共同供應契約項目不同，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</w:t>
            </w:r>
            <w:r w:rsidR="001615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依本校採購作業要點督促各單位，優先依「中央機關共同供應契約集中採購實施要點」辦理採購。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7D6B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財物應指派專人管理及採購，避免重複購置囤積浪費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B46168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各單位指派專責管理人辦理採購及財產管理事宜</w:t>
            </w:r>
          </w:p>
        </w:tc>
        <w:tc>
          <w:tcPr>
            <w:tcW w:w="2171" w:type="pct"/>
            <w:vAlign w:val="center"/>
          </w:tcPr>
          <w:p w:rsidR="00163CE3" w:rsidRPr="00E333D0" w:rsidRDefault="00E333D0" w:rsidP="00690B51">
            <w:pPr>
              <w:spacing w:line="400" w:lineRule="exact"/>
              <w:ind w:left="319" w:hangingChars="133" w:hanging="31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163CE3" w:rsidRPr="00E333D0">
              <w:rPr>
                <w:rFonts w:ascii="標楷體" w:eastAsia="標楷體" w:hAnsi="標楷體" w:hint="eastAsia"/>
                <w:color w:val="000000" w:themeColor="text1"/>
                <w:szCs w:val="24"/>
              </w:rPr>
              <w:t>置專責採購及財產管理人1人</w:t>
            </w:r>
            <w:r w:rsidR="00690B5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，合宜採購所需財物</w:t>
            </w:r>
            <w:r w:rsidR="00163CE3" w:rsidRPr="00E333D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163CE3" w:rsidRPr="00E333D0" w:rsidRDefault="00E333D0" w:rsidP="00690B51">
            <w:pPr>
              <w:spacing w:line="400" w:lineRule="exact"/>
              <w:ind w:left="319" w:hangingChars="133" w:hanging="31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163CE3" w:rsidRPr="00E333D0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辦理年度財產自行盤點至少1次</w:t>
            </w:r>
            <w:r w:rsidR="00690B5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，並確實掌握</w:t>
            </w:r>
            <w:r w:rsidR="00690B51" w:rsidRPr="00690B51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單位財物配置情形</w:t>
            </w:r>
            <w:r w:rsidR="00163CE3" w:rsidRPr="00E333D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7" w:type="pct"/>
            <w:vAlign w:val="center"/>
          </w:tcPr>
          <w:p w:rsidR="00163CE3" w:rsidRPr="007B560B" w:rsidRDefault="00B4280A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各一級單位、學院、校級附屬中心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7B560B" w:rsidRDefault="00163CE3" w:rsidP="00037AF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辦理年度財產盤點</w:t>
            </w:r>
          </w:p>
        </w:tc>
        <w:tc>
          <w:tcPr>
            <w:tcW w:w="2171" w:type="pct"/>
            <w:vAlign w:val="center"/>
          </w:tcPr>
          <w:p w:rsidR="00163CE3" w:rsidRPr="007B560B" w:rsidRDefault="001615B6" w:rsidP="004E1DF4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辦理年度全校財產</w:t>
            </w:r>
            <w:r w:rsidR="004E1DF4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(國有公用財物)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盤點至少1次，以落實產籍管理，充分發揮使用效能。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7D6B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 w:val="restar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資源整合與共享</w:t>
            </w:r>
          </w:p>
        </w:tc>
        <w:tc>
          <w:tcPr>
            <w:tcW w:w="734" w:type="pc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整合校內資源，活化利用閒置空間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辦理空間盤點，有效整合及分配空間使用</w:t>
            </w:r>
          </w:p>
        </w:tc>
        <w:tc>
          <w:tcPr>
            <w:tcW w:w="2171" w:type="pct"/>
            <w:vAlign w:val="center"/>
          </w:tcPr>
          <w:p w:rsidR="00163CE3" w:rsidRPr="007B560B" w:rsidRDefault="004E1DF4" w:rsidP="007E67DE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掌握本校各單位空間使用情況，列管閒置空間，評估活化再利用可能性，以挹注校務基金收入。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多餘堪用設備，透過財產管理系統媒合轉移，共享資源。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辦理財產及非消耗品公告周知及移轉事宜</w:t>
            </w:r>
          </w:p>
        </w:tc>
        <w:tc>
          <w:tcPr>
            <w:tcW w:w="2171" w:type="pct"/>
            <w:vAlign w:val="center"/>
          </w:tcPr>
          <w:p w:rsidR="00163CE3" w:rsidRPr="00423739" w:rsidRDefault="00423739" w:rsidP="0042373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3739">
              <w:rPr>
                <w:rFonts w:ascii="標楷體" w:eastAsia="標楷體" w:hAnsi="標楷體" w:hint="eastAsia"/>
                <w:color w:val="000000" w:themeColor="text1"/>
                <w:szCs w:val="24"/>
              </w:rPr>
              <w:t>賡續</w:t>
            </w:r>
            <w:r w:rsidR="004E2A3E" w:rsidRPr="00423739">
              <w:rPr>
                <w:rFonts w:ascii="標楷體" w:eastAsia="標楷體" w:hAnsi="標楷體" w:hint="eastAsia"/>
                <w:color w:val="000000" w:themeColor="text1"/>
                <w:szCs w:val="24"/>
              </w:rPr>
              <w:t>維護本校財產管理系統，提供財物釋出平臺</w:t>
            </w:r>
            <w:r w:rsidRPr="00423739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以利</w:t>
            </w:r>
            <w:r w:rsidR="004E1DF4" w:rsidRPr="00423739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各單位</w:t>
            </w:r>
            <w:r w:rsidR="004E2A3E" w:rsidRPr="00423739">
              <w:rPr>
                <w:rFonts w:ascii="標楷體" w:eastAsia="標楷體" w:hAnsi="標楷體" w:hint="eastAsia"/>
                <w:color w:val="000000" w:themeColor="text1"/>
                <w:szCs w:val="24"/>
              </w:rPr>
              <w:t>交流</w:t>
            </w:r>
            <w:r w:rsidR="004E1DF4" w:rsidRPr="00423739">
              <w:rPr>
                <w:rFonts w:ascii="標楷體" w:eastAsia="標楷體" w:hAnsi="標楷體" w:hint="eastAsia"/>
                <w:color w:val="000000" w:themeColor="text1"/>
                <w:szCs w:val="24"/>
              </w:rPr>
              <w:t>堪用財物</w:t>
            </w:r>
            <w:r w:rsidRPr="00423739">
              <w:rPr>
                <w:rFonts w:ascii="標楷體" w:eastAsia="標楷體" w:hAnsi="標楷體" w:hint="eastAsia"/>
                <w:color w:val="000000" w:themeColor="text1"/>
                <w:szCs w:val="24"/>
              </w:rPr>
              <w:t>移轉</w:t>
            </w:r>
            <w:r w:rsidR="0060609D">
              <w:rPr>
                <w:rFonts w:ascii="標楷體" w:eastAsia="標楷體" w:hAnsi="標楷體" w:hint="eastAsia"/>
                <w:color w:val="000000" w:themeColor="text1"/>
                <w:szCs w:val="24"/>
              </w:rPr>
              <w:t>資訊，提升資源使用效益，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樽節</w:t>
            </w:r>
            <w:r w:rsidR="0060609D">
              <w:rPr>
                <w:rFonts w:ascii="標楷體" w:eastAsia="標楷體" w:hAnsi="標楷體" w:hint="eastAsia"/>
                <w:color w:val="000000" w:themeColor="text1"/>
                <w:szCs w:val="24"/>
              </w:rPr>
              <w:t>購置財物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支出。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814AFD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 w:val="restar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活動節流措施</w:t>
            </w:r>
          </w:p>
        </w:tc>
        <w:tc>
          <w:tcPr>
            <w:tcW w:w="734" w:type="pct"/>
            <w:vMerge w:val="restar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cs="微軟正黑體"/>
                <w:color w:val="000000" w:themeColor="text1"/>
                <w:szCs w:val="24"/>
              </w:rPr>
              <w:t>簡約慶典、活動、研習及餐費等支出，避免鋪張浪費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撙節教職員工文康活動支出</w:t>
            </w:r>
          </w:p>
        </w:tc>
        <w:tc>
          <w:tcPr>
            <w:tcW w:w="2171" w:type="pct"/>
            <w:vAlign w:val="center"/>
          </w:tcPr>
          <w:p w:rsidR="00163CE3" w:rsidRPr="007B560B" w:rsidRDefault="008D505E" w:rsidP="00423739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賡續研議研習活動及文康項目</w:t>
            </w:r>
            <w:r w:rsidR="00423739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，以不增加</w:t>
            </w:r>
            <w:r w:rsidR="007A6A83">
              <w:rPr>
                <w:rFonts w:ascii="標楷體" w:eastAsia="標楷體" w:hAnsi="標楷體" w:hint="eastAsia"/>
                <w:color w:val="000000" w:themeColor="text1"/>
                <w:szCs w:val="24"/>
              </w:rPr>
              <w:t>上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423739">
              <w:rPr>
                <w:rFonts w:ascii="標楷體" w:eastAsia="標楷體" w:hAnsi="標楷體" w:hint="eastAsia"/>
                <w:color w:val="000000" w:themeColor="text1"/>
                <w:szCs w:val="24"/>
              </w:rPr>
              <w:t>度</w:t>
            </w:r>
            <w:r w:rsidR="0060609D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額度為原則。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人事室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 w:cs="微軟正黑體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會議以不供餐為原則，特殊性質者視實際需要及相關規定額度內支出</w:t>
            </w:r>
          </w:p>
        </w:tc>
        <w:tc>
          <w:tcPr>
            <w:tcW w:w="2171" w:type="pct"/>
            <w:vAlign w:val="center"/>
          </w:tcPr>
          <w:p w:rsidR="00163CE3" w:rsidRPr="007B560B" w:rsidRDefault="00163CE3" w:rsidP="00D667F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會議或活動餐費總支出不高於上年度金額</w:t>
            </w:r>
            <w:r w:rsidR="008D505E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為原則。</w:t>
            </w:r>
          </w:p>
        </w:tc>
        <w:tc>
          <w:tcPr>
            <w:tcW w:w="647" w:type="pct"/>
            <w:vAlign w:val="center"/>
          </w:tcPr>
          <w:p w:rsidR="00163CE3" w:rsidRPr="007B560B" w:rsidRDefault="00B4280A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各一級單位、學院、校級附屬中心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確實審核活動場地借用</w:t>
            </w: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及經費補助，避免非必要支出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692FE7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核實審查學生社團借用場地之合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適性及撙節活動經費補助</w:t>
            </w:r>
          </w:p>
        </w:tc>
        <w:tc>
          <w:tcPr>
            <w:tcW w:w="2171" w:type="pct"/>
            <w:vAlign w:val="center"/>
          </w:tcPr>
          <w:p w:rsidR="00365A0C" w:rsidRDefault="006A22AE" w:rsidP="009A2240">
            <w:pPr>
              <w:pStyle w:val="a7"/>
              <w:numPr>
                <w:ilvl w:val="0"/>
                <w:numId w:val="49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賡續依</w:t>
            </w:r>
            <w:r w:rsidR="00132592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借用相關規定審核</w:t>
            </w:r>
            <w:r w:rsidR="00365A0C">
              <w:rPr>
                <w:rFonts w:ascii="標楷體" w:eastAsia="標楷體" w:hAnsi="標楷體" w:hint="eastAsia"/>
                <w:color w:val="000000" w:themeColor="text1"/>
                <w:szCs w:val="24"/>
              </w:rPr>
              <w:t>借用案，以發揮硬體資源效能。</w:t>
            </w:r>
          </w:p>
          <w:p w:rsidR="00132592" w:rsidRPr="007B560B" w:rsidRDefault="006A22AE" w:rsidP="009A2240">
            <w:pPr>
              <w:pStyle w:val="a7"/>
              <w:numPr>
                <w:ilvl w:val="0"/>
                <w:numId w:val="49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違規者予以</w:t>
            </w:r>
            <w:r w:rsidR="00132592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停權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，以有效管理</w:t>
            </w:r>
            <w:r w:rsidR="007642B6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維持</w:t>
            </w:r>
            <w:r w:rsidR="00673D6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品質</w:t>
            </w:r>
            <w:r w:rsidR="00132592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163CE3" w:rsidRPr="007B560B" w:rsidRDefault="007642B6" w:rsidP="00A55447">
            <w:pPr>
              <w:pStyle w:val="a7"/>
              <w:numPr>
                <w:ilvl w:val="0"/>
                <w:numId w:val="49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賡續依</w:t>
            </w:r>
            <w:r w:rsidR="00132592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活動補助經費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</w:t>
            </w:r>
            <w:r w:rsidR="00132592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規定，核實辦理補助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事宜</w:t>
            </w:r>
            <w:r w:rsidR="00132592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經費以</w:t>
            </w:r>
            <w:r w:rsidR="00132592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不超支</w:t>
            </w:r>
            <w:r w:rsidR="00A55447">
              <w:rPr>
                <w:rFonts w:ascii="標楷體" w:eastAsia="標楷體" w:hAnsi="標楷體" w:hint="eastAsia"/>
                <w:color w:val="000000" w:themeColor="text1"/>
                <w:szCs w:val="24"/>
              </w:rPr>
              <w:t>111</w:t>
            </w:r>
            <w:r w:rsidR="00132592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年度編列</w:t>
            </w:r>
            <w:r w:rsidR="00A55447">
              <w:rPr>
                <w:rFonts w:ascii="標楷體" w:eastAsia="標楷體" w:hAnsi="標楷體" w:hint="eastAsia"/>
                <w:color w:val="000000" w:themeColor="text1"/>
                <w:szCs w:val="24"/>
              </w:rPr>
              <w:t>之預算數</w:t>
            </w:r>
            <w:r w:rsidR="00132592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為原則。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學生事務處</w:t>
            </w:r>
          </w:p>
        </w:tc>
      </w:tr>
      <w:tr w:rsidR="007B560B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163CE3" w:rsidRPr="007B560B" w:rsidRDefault="00163CE3" w:rsidP="00692FE7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核實審查及撙節教職員社團活動經費補助</w:t>
            </w:r>
          </w:p>
        </w:tc>
        <w:tc>
          <w:tcPr>
            <w:tcW w:w="2171" w:type="pct"/>
            <w:vAlign w:val="center"/>
          </w:tcPr>
          <w:p w:rsidR="008D505E" w:rsidRPr="007B560B" w:rsidRDefault="008D505E" w:rsidP="009A2240">
            <w:pPr>
              <w:pStyle w:val="a7"/>
              <w:numPr>
                <w:ilvl w:val="0"/>
                <w:numId w:val="50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賡續依本校教職員工社團活動相關規定辦理補助事宜，以提倡員工正常娛樂及鼓舞工作情緒。</w:t>
            </w:r>
          </w:p>
          <w:p w:rsidR="00163CE3" w:rsidRPr="007B560B" w:rsidRDefault="00D520D1" w:rsidP="00166160">
            <w:pPr>
              <w:pStyle w:val="a7"/>
              <w:numPr>
                <w:ilvl w:val="0"/>
                <w:numId w:val="50"/>
              </w:numPr>
              <w:spacing w:line="400" w:lineRule="exact"/>
              <w:ind w:leftChars="0" w:left="246" w:hanging="24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每一社團</w:t>
            </w:r>
            <w:r w:rsidR="00166160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年度補助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以</w:t>
            </w:r>
            <w:r w:rsidR="008D505E"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5,000元為上限。</w:t>
            </w:r>
          </w:p>
        </w:tc>
        <w:tc>
          <w:tcPr>
            <w:tcW w:w="647" w:type="pct"/>
            <w:vAlign w:val="center"/>
          </w:tcPr>
          <w:p w:rsidR="00163CE3" w:rsidRPr="007B560B" w:rsidRDefault="00163CE3" w:rsidP="007D6B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人事室</w:t>
            </w:r>
          </w:p>
        </w:tc>
      </w:tr>
      <w:tr w:rsidR="00163CE3" w:rsidRPr="007B560B" w:rsidTr="00163CE3">
        <w:trPr>
          <w:trHeight w:val="20"/>
          <w:jc w:val="center"/>
        </w:trPr>
        <w:tc>
          <w:tcPr>
            <w:tcW w:w="505" w:type="pct"/>
            <w:vMerge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/>
                <w:color w:val="000000" w:themeColor="text1"/>
                <w:szCs w:val="24"/>
              </w:rPr>
              <w:t>研習及訓練等活動採用數位學習或單位合辦，撙節經費支出</w:t>
            </w:r>
          </w:p>
        </w:tc>
        <w:tc>
          <w:tcPr>
            <w:tcW w:w="943" w:type="pct"/>
            <w:vAlign w:val="center"/>
          </w:tcPr>
          <w:p w:rsidR="00163CE3" w:rsidRPr="007B560B" w:rsidRDefault="00163CE3" w:rsidP="0001410D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研習訓練以數位學習或合併方式辦理</w:t>
            </w:r>
          </w:p>
        </w:tc>
        <w:tc>
          <w:tcPr>
            <w:tcW w:w="2171" w:type="pct"/>
            <w:vAlign w:val="center"/>
          </w:tcPr>
          <w:p w:rsidR="00163CE3" w:rsidRPr="007B560B" w:rsidRDefault="00163CE3" w:rsidP="00E22472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研習或訓練至少1場採用數位學習或合併方式辦理</w:t>
            </w:r>
            <w:r w:rsidR="00BA428E">
              <w:rPr>
                <w:rFonts w:ascii="標楷體" w:eastAsia="標楷體" w:hAnsi="標楷體" w:hint="eastAsia"/>
                <w:color w:val="000000" w:themeColor="text1"/>
                <w:szCs w:val="24"/>
              </w:rPr>
              <w:t>為原則</w:t>
            </w:r>
            <w:r w:rsidR="00006E6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7" w:type="pct"/>
            <w:vAlign w:val="center"/>
          </w:tcPr>
          <w:p w:rsidR="00163CE3" w:rsidRPr="007B560B" w:rsidRDefault="00B4280A" w:rsidP="007D6B5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560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各一級單位、學院、校級附屬中心</w:t>
            </w:r>
          </w:p>
        </w:tc>
      </w:tr>
    </w:tbl>
    <w:p w:rsidR="0001410D" w:rsidRPr="007B560B" w:rsidRDefault="0001410D" w:rsidP="00DB53A4">
      <w:pPr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</w:p>
    <w:p w:rsidR="00857C06" w:rsidRPr="00B763ED" w:rsidRDefault="00DB53A4" w:rsidP="0068366C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B763ED">
        <w:rPr>
          <w:rFonts w:ascii="標楷體" w:eastAsia="標楷體" w:hAnsi="標楷體" w:hint="eastAsia"/>
          <w:color w:val="000000" w:themeColor="text1"/>
          <w:szCs w:val="24"/>
        </w:rPr>
        <w:t>其他創新方案</w:t>
      </w:r>
      <w:r w:rsidR="00B763ED" w:rsidRPr="00B763ED">
        <w:rPr>
          <w:rFonts w:ascii="標楷體" w:eastAsia="標楷體" w:hAnsi="標楷體" w:hint="eastAsia"/>
          <w:color w:val="000000" w:themeColor="text1"/>
          <w:szCs w:val="24"/>
        </w:rPr>
        <w:t>：無。</w:t>
      </w:r>
    </w:p>
    <w:sectPr w:rsidR="00857C06" w:rsidRPr="00B763ED" w:rsidSect="00283E07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6C" w:rsidRDefault="0079426C" w:rsidP="00A62A85">
      <w:r>
        <w:separator/>
      </w:r>
    </w:p>
  </w:endnote>
  <w:endnote w:type="continuationSeparator" w:id="0">
    <w:p w:rsidR="0079426C" w:rsidRDefault="0079426C" w:rsidP="00A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472531"/>
      <w:docPartObj>
        <w:docPartGallery w:val="Page Numbers (Bottom of Page)"/>
        <w:docPartUnique/>
      </w:docPartObj>
    </w:sdtPr>
    <w:sdtEndPr/>
    <w:sdtContent>
      <w:p w:rsidR="00D00078" w:rsidRDefault="00D000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C1" w:rsidRPr="005C7FC1">
          <w:rPr>
            <w:noProof/>
            <w:lang w:val="zh-TW"/>
          </w:rPr>
          <w:t>1</w:t>
        </w:r>
        <w:r>
          <w:fldChar w:fldCharType="end"/>
        </w:r>
      </w:p>
    </w:sdtContent>
  </w:sdt>
  <w:p w:rsidR="00D00078" w:rsidRDefault="00D000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6C" w:rsidRDefault="0079426C" w:rsidP="00A62A85">
      <w:r>
        <w:separator/>
      </w:r>
    </w:p>
  </w:footnote>
  <w:footnote w:type="continuationSeparator" w:id="0">
    <w:p w:rsidR="0079426C" w:rsidRDefault="0079426C" w:rsidP="00A6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096"/>
    <w:multiLevelType w:val="hybridMultilevel"/>
    <w:tmpl w:val="173250CE"/>
    <w:lvl w:ilvl="0" w:tplc="7544117C">
      <w:start w:val="1"/>
      <w:numFmt w:val="decimal"/>
      <w:suff w:val="nothing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" w15:restartNumberingAfterBreak="0">
    <w:nsid w:val="00CA7400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CD3253"/>
    <w:multiLevelType w:val="hybridMultilevel"/>
    <w:tmpl w:val="9D204864"/>
    <w:lvl w:ilvl="0" w:tplc="BAB4002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780B49"/>
    <w:multiLevelType w:val="hybridMultilevel"/>
    <w:tmpl w:val="E25C8690"/>
    <w:lvl w:ilvl="0" w:tplc="271475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4" w15:restartNumberingAfterBreak="0">
    <w:nsid w:val="074E589E"/>
    <w:multiLevelType w:val="hybridMultilevel"/>
    <w:tmpl w:val="8BE8A40C"/>
    <w:lvl w:ilvl="0" w:tplc="EB48F14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803CFC"/>
    <w:multiLevelType w:val="hybridMultilevel"/>
    <w:tmpl w:val="1A92B750"/>
    <w:lvl w:ilvl="0" w:tplc="148A5E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5A54D1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B66B30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C5323F"/>
    <w:multiLevelType w:val="hybridMultilevel"/>
    <w:tmpl w:val="E25C8690"/>
    <w:lvl w:ilvl="0" w:tplc="271475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9" w15:restartNumberingAfterBreak="0">
    <w:nsid w:val="1C4B2CB7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74256F"/>
    <w:multiLevelType w:val="hybridMultilevel"/>
    <w:tmpl w:val="F9221DE8"/>
    <w:lvl w:ilvl="0" w:tplc="B91021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464C04"/>
    <w:multiLevelType w:val="hybridMultilevel"/>
    <w:tmpl w:val="173250CE"/>
    <w:lvl w:ilvl="0" w:tplc="754411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203E96"/>
    <w:multiLevelType w:val="hybridMultilevel"/>
    <w:tmpl w:val="1D8E5994"/>
    <w:lvl w:ilvl="0" w:tplc="76E489A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6C5F16"/>
    <w:multiLevelType w:val="hybridMultilevel"/>
    <w:tmpl w:val="82E2BD88"/>
    <w:lvl w:ilvl="0" w:tplc="C338E95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186FE9"/>
    <w:multiLevelType w:val="hybridMultilevel"/>
    <w:tmpl w:val="5D9A64A0"/>
    <w:lvl w:ilvl="0" w:tplc="470278D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C73D9E"/>
    <w:multiLevelType w:val="hybridMultilevel"/>
    <w:tmpl w:val="BD68AFE0"/>
    <w:lvl w:ilvl="0" w:tplc="A67095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8F1AD6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4A20D8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B04C0D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EE4F74"/>
    <w:multiLevelType w:val="hybridMultilevel"/>
    <w:tmpl w:val="E25C8690"/>
    <w:lvl w:ilvl="0" w:tplc="271475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20" w15:restartNumberingAfterBreak="0">
    <w:nsid w:val="320074A9"/>
    <w:multiLevelType w:val="hybridMultilevel"/>
    <w:tmpl w:val="9D204864"/>
    <w:lvl w:ilvl="0" w:tplc="BAB4002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0E7112"/>
    <w:multiLevelType w:val="hybridMultilevel"/>
    <w:tmpl w:val="BA48E6D4"/>
    <w:lvl w:ilvl="0" w:tplc="61AC7F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1E6D26"/>
    <w:multiLevelType w:val="hybridMultilevel"/>
    <w:tmpl w:val="39329E3A"/>
    <w:lvl w:ilvl="0" w:tplc="97EE2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BD1997"/>
    <w:multiLevelType w:val="hybridMultilevel"/>
    <w:tmpl w:val="89CE229E"/>
    <w:lvl w:ilvl="0" w:tplc="F90CF6F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 w15:restartNumberingAfterBreak="0">
    <w:nsid w:val="3AFF177C"/>
    <w:multiLevelType w:val="hybridMultilevel"/>
    <w:tmpl w:val="BB5C44D0"/>
    <w:lvl w:ilvl="0" w:tplc="4AE473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1921BC"/>
    <w:multiLevelType w:val="hybridMultilevel"/>
    <w:tmpl w:val="0276DDFC"/>
    <w:lvl w:ilvl="0" w:tplc="B3D0E94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16205B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C43FA8"/>
    <w:multiLevelType w:val="hybridMultilevel"/>
    <w:tmpl w:val="1A92B750"/>
    <w:lvl w:ilvl="0" w:tplc="148A5E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353CC9"/>
    <w:multiLevelType w:val="hybridMultilevel"/>
    <w:tmpl w:val="5B901D22"/>
    <w:lvl w:ilvl="0" w:tplc="35BE05A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367A00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E22223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A46D68"/>
    <w:multiLevelType w:val="hybridMultilevel"/>
    <w:tmpl w:val="173250CE"/>
    <w:lvl w:ilvl="0" w:tplc="754411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EE100F"/>
    <w:multiLevelType w:val="hybridMultilevel"/>
    <w:tmpl w:val="173250CE"/>
    <w:lvl w:ilvl="0" w:tplc="754411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E30C2C"/>
    <w:multiLevelType w:val="hybridMultilevel"/>
    <w:tmpl w:val="9D204864"/>
    <w:lvl w:ilvl="0" w:tplc="BAB4002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B45F4C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5F4B6F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6E256D3"/>
    <w:multiLevelType w:val="hybridMultilevel"/>
    <w:tmpl w:val="173250CE"/>
    <w:lvl w:ilvl="0" w:tplc="754411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7175EA2"/>
    <w:multiLevelType w:val="hybridMultilevel"/>
    <w:tmpl w:val="79201F0A"/>
    <w:lvl w:ilvl="0" w:tplc="CE24E1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58770B70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500B2B"/>
    <w:multiLevelType w:val="hybridMultilevel"/>
    <w:tmpl w:val="173250CE"/>
    <w:lvl w:ilvl="0" w:tplc="754411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ABC1732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C627690"/>
    <w:multiLevelType w:val="hybridMultilevel"/>
    <w:tmpl w:val="9D204864"/>
    <w:lvl w:ilvl="0" w:tplc="BAB4002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1F540CD"/>
    <w:multiLevelType w:val="hybridMultilevel"/>
    <w:tmpl w:val="E25C8690"/>
    <w:lvl w:ilvl="0" w:tplc="271475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43" w15:restartNumberingAfterBreak="0">
    <w:nsid w:val="64A71639"/>
    <w:multiLevelType w:val="hybridMultilevel"/>
    <w:tmpl w:val="E25C8690"/>
    <w:lvl w:ilvl="0" w:tplc="271475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44" w15:restartNumberingAfterBreak="0">
    <w:nsid w:val="6AA50A26"/>
    <w:multiLevelType w:val="hybridMultilevel"/>
    <w:tmpl w:val="9CD2BF78"/>
    <w:lvl w:ilvl="0" w:tplc="A5CA9FF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BB144D8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CFE1E22"/>
    <w:multiLevelType w:val="hybridMultilevel"/>
    <w:tmpl w:val="E25C8690"/>
    <w:lvl w:ilvl="0" w:tplc="271475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47" w15:restartNumberingAfterBreak="0">
    <w:nsid w:val="6F9F04C1"/>
    <w:multiLevelType w:val="hybridMultilevel"/>
    <w:tmpl w:val="1E5610B4"/>
    <w:lvl w:ilvl="0" w:tplc="2CCE4A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0035FC4"/>
    <w:multiLevelType w:val="hybridMultilevel"/>
    <w:tmpl w:val="84BA5AD2"/>
    <w:lvl w:ilvl="0" w:tplc="91D8B69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1912777"/>
    <w:multiLevelType w:val="hybridMultilevel"/>
    <w:tmpl w:val="84BA5AD2"/>
    <w:lvl w:ilvl="0" w:tplc="91D8B69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7"/>
  </w:num>
  <w:num w:numId="3">
    <w:abstractNumId w:val="27"/>
  </w:num>
  <w:num w:numId="4">
    <w:abstractNumId w:val="22"/>
  </w:num>
  <w:num w:numId="5">
    <w:abstractNumId w:val="5"/>
  </w:num>
  <w:num w:numId="6">
    <w:abstractNumId w:val="15"/>
  </w:num>
  <w:num w:numId="7">
    <w:abstractNumId w:val="14"/>
  </w:num>
  <w:num w:numId="8">
    <w:abstractNumId w:val="11"/>
  </w:num>
  <w:num w:numId="9">
    <w:abstractNumId w:val="4"/>
  </w:num>
  <w:num w:numId="10">
    <w:abstractNumId w:val="10"/>
  </w:num>
  <w:num w:numId="11">
    <w:abstractNumId w:val="44"/>
  </w:num>
  <w:num w:numId="12">
    <w:abstractNumId w:val="6"/>
  </w:num>
  <w:num w:numId="13">
    <w:abstractNumId w:val="20"/>
  </w:num>
  <w:num w:numId="14">
    <w:abstractNumId w:val="33"/>
  </w:num>
  <w:num w:numId="15">
    <w:abstractNumId w:val="2"/>
  </w:num>
  <w:num w:numId="16">
    <w:abstractNumId w:val="41"/>
  </w:num>
  <w:num w:numId="17">
    <w:abstractNumId w:val="48"/>
  </w:num>
  <w:num w:numId="18">
    <w:abstractNumId w:val="49"/>
  </w:num>
  <w:num w:numId="19">
    <w:abstractNumId w:val="12"/>
  </w:num>
  <w:num w:numId="20">
    <w:abstractNumId w:val="19"/>
  </w:num>
  <w:num w:numId="21">
    <w:abstractNumId w:val="3"/>
  </w:num>
  <w:num w:numId="22">
    <w:abstractNumId w:val="8"/>
  </w:num>
  <w:num w:numId="23">
    <w:abstractNumId w:val="42"/>
  </w:num>
  <w:num w:numId="24">
    <w:abstractNumId w:val="46"/>
  </w:num>
  <w:num w:numId="25">
    <w:abstractNumId w:val="43"/>
  </w:num>
  <w:num w:numId="26">
    <w:abstractNumId w:val="32"/>
  </w:num>
  <w:num w:numId="27">
    <w:abstractNumId w:val="36"/>
  </w:num>
  <w:num w:numId="28">
    <w:abstractNumId w:val="31"/>
  </w:num>
  <w:num w:numId="29">
    <w:abstractNumId w:val="39"/>
  </w:num>
  <w:num w:numId="30">
    <w:abstractNumId w:val="0"/>
  </w:num>
  <w:num w:numId="31">
    <w:abstractNumId w:val="38"/>
  </w:num>
  <w:num w:numId="32">
    <w:abstractNumId w:val="26"/>
  </w:num>
  <w:num w:numId="33">
    <w:abstractNumId w:val="18"/>
  </w:num>
  <w:num w:numId="34">
    <w:abstractNumId w:val="34"/>
  </w:num>
  <w:num w:numId="35">
    <w:abstractNumId w:val="25"/>
  </w:num>
  <w:num w:numId="36">
    <w:abstractNumId w:val="29"/>
  </w:num>
  <w:num w:numId="37">
    <w:abstractNumId w:val="30"/>
  </w:num>
  <w:num w:numId="38">
    <w:abstractNumId w:val="13"/>
  </w:num>
  <w:num w:numId="39">
    <w:abstractNumId w:val="47"/>
  </w:num>
  <w:num w:numId="40">
    <w:abstractNumId w:val="1"/>
  </w:num>
  <w:num w:numId="41">
    <w:abstractNumId w:val="24"/>
  </w:num>
  <w:num w:numId="42">
    <w:abstractNumId w:val="45"/>
  </w:num>
  <w:num w:numId="43">
    <w:abstractNumId w:val="21"/>
  </w:num>
  <w:num w:numId="44">
    <w:abstractNumId w:val="40"/>
  </w:num>
  <w:num w:numId="45">
    <w:abstractNumId w:val="9"/>
  </w:num>
  <w:num w:numId="46">
    <w:abstractNumId w:val="17"/>
  </w:num>
  <w:num w:numId="47">
    <w:abstractNumId w:val="35"/>
  </w:num>
  <w:num w:numId="48">
    <w:abstractNumId w:val="23"/>
  </w:num>
  <w:num w:numId="49">
    <w:abstractNumId w:val="16"/>
  </w:num>
  <w:num w:numId="50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4A"/>
    <w:rsid w:val="00001616"/>
    <w:rsid w:val="00002ECE"/>
    <w:rsid w:val="000055D4"/>
    <w:rsid w:val="00006E6C"/>
    <w:rsid w:val="0001410D"/>
    <w:rsid w:val="00020235"/>
    <w:rsid w:val="00031CAC"/>
    <w:rsid w:val="00036D34"/>
    <w:rsid w:val="00037AF0"/>
    <w:rsid w:val="000444CF"/>
    <w:rsid w:val="000528E8"/>
    <w:rsid w:val="00053675"/>
    <w:rsid w:val="0005467D"/>
    <w:rsid w:val="0006020A"/>
    <w:rsid w:val="000673D2"/>
    <w:rsid w:val="000675DC"/>
    <w:rsid w:val="00067D3F"/>
    <w:rsid w:val="00070F46"/>
    <w:rsid w:val="0007515B"/>
    <w:rsid w:val="000777E9"/>
    <w:rsid w:val="00080E34"/>
    <w:rsid w:val="00083FE8"/>
    <w:rsid w:val="000902D1"/>
    <w:rsid w:val="000A02D2"/>
    <w:rsid w:val="000A49A5"/>
    <w:rsid w:val="000A7222"/>
    <w:rsid w:val="000A72E8"/>
    <w:rsid w:val="000B38A0"/>
    <w:rsid w:val="000C5A47"/>
    <w:rsid w:val="000C635C"/>
    <w:rsid w:val="000D42C1"/>
    <w:rsid w:val="000D7ABE"/>
    <w:rsid w:val="000E06C1"/>
    <w:rsid w:val="000E2697"/>
    <w:rsid w:val="000E27BD"/>
    <w:rsid w:val="000E4505"/>
    <w:rsid w:val="000E7434"/>
    <w:rsid w:val="000F49D3"/>
    <w:rsid w:val="001025A7"/>
    <w:rsid w:val="001042A6"/>
    <w:rsid w:val="00104E2E"/>
    <w:rsid w:val="00115281"/>
    <w:rsid w:val="00115392"/>
    <w:rsid w:val="00126CB6"/>
    <w:rsid w:val="00132592"/>
    <w:rsid w:val="001356E5"/>
    <w:rsid w:val="00136FCB"/>
    <w:rsid w:val="001526F5"/>
    <w:rsid w:val="001615B6"/>
    <w:rsid w:val="00163CE3"/>
    <w:rsid w:val="00164C0F"/>
    <w:rsid w:val="00166160"/>
    <w:rsid w:val="00171362"/>
    <w:rsid w:val="00173A1C"/>
    <w:rsid w:val="001751F4"/>
    <w:rsid w:val="00185BE5"/>
    <w:rsid w:val="001A0EC9"/>
    <w:rsid w:val="001C7177"/>
    <w:rsid w:val="001D7CFC"/>
    <w:rsid w:val="001E31D8"/>
    <w:rsid w:val="001F21A3"/>
    <w:rsid w:val="00202714"/>
    <w:rsid w:val="00206ED4"/>
    <w:rsid w:val="00214345"/>
    <w:rsid w:val="00215576"/>
    <w:rsid w:val="00216668"/>
    <w:rsid w:val="00216BB0"/>
    <w:rsid w:val="00231A67"/>
    <w:rsid w:val="00232458"/>
    <w:rsid w:val="00245AE3"/>
    <w:rsid w:val="00255FB8"/>
    <w:rsid w:val="00256EEB"/>
    <w:rsid w:val="002664B5"/>
    <w:rsid w:val="00267453"/>
    <w:rsid w:val="00272CE4"/>
    <w:rsid w:val="0027482A"/>
    <w:rsid w:val="00283E07"/>
    <w:rsid w:val="00285909"/>
    <w:rsid w:val="00286CF4"/>
    <w:rsid w:val="002915A8"/>
    <w:rsid w:val="002A4B96"/>
    <w:rsid w:val="002A5EB8"/>
    <w:rsid w:val="002B0D66"/>
    <w:rsid w:val="002C1D65"/>
    <w:rsid w:val="002C5715"/>
    <w:rsid w:val="002D1764"/>
    <w:rsid w:val="002D48E2"/>
    <w:rsid w:val="002D587C"/>
    <w:rsid w:val="002E28DF"/>
    <w:rsid w:val="002E7B63"/>
    <w:rsid w:val="002F0AA8"/>
    <w:rsid w:val="002F43DF"/>
    <w:rsid w:val="00300AE9"/>
    <w:rsid w:val="00302885"/>
    <w:rsid w:val="00304698"/>
    <w:rsid w:val="00304EDE"/>
    <w:rsid w:val="00310A70"/>
    <w:rsid w:val="00316989"/>
    <w:rsid w:val="00325D81"/>
    <w:rsid w:val="00341F7F"/>
    <w:rsid w:val="00365A0C"/>
    <w:rsid w:val="00367DF0"/>
    <w:rsid w:val="00367EAF"/>
    <w:rsid w:val="0037177E"/>
    <w:rsid w:val="0038095E"/>
    <w:rsid w:val="00381C5E"/>
    <w:rsid w:val="00392154"/>
    <w:rsid w:val="003A3371"/>
    <w:rsid w:val="003C368A"/>
    <w:rsid w:val="003C42EE"/>
    <w:rsid w:val="003C5060"/>
    <w:rsid w:val="003C6D9B"/>
    <w:rsid w:val="003D0EE9"/>
    <w:rsid w:val="003D1FD1"/>
    <w:rsid w:val="003E1C5D"/>
    <w:rsid w:val="003E7E89"/>
    <w:rsid w:val="003F78FC"/>
    <w:rsid w:val="00405C08"/>
    <w:rsid w:val="004136E8"/>
    <w:rsid w:val="00416230"/>
    <w:rsid w:val="00423739"/>
    <w:rsid w:val="004277B5"/>
    <w:rsid w:val="00432114"/>
    <w:rsid w:val="00441805"/>
    <w:rsid w:val="00444576"/>
    <w:rsid w:val="00456FD3"/>
    <w:rsid w:val="00461030"/>
    <w:rsid w:val="004662B2"/>
    <w:rsid w:val="004677FD"/>
    <w:rsid w:val="00482227"/>
    <w:rsid w:val="00484866"/>
    <w:rsid w:val="00484ECC"/>
    <w:rsid w:val="00486EE3"/>
    <w:rsid w:val="004949F7"/>
    <w:rsid w:val="00495178"/>
    <w:rsid w:val="004A0F6B"/>
    <w:rsid w:val="004A22CB"/>
    <w:rsid w:val="004B3773"/>
    <w:rsid w:val="004B45BD"/>
    <w:rsid w:val="004B4AED"/>
    <w:rsid w:val="004B5B92"/>
    <w:rsid w:val="004B73C9"/>
    <w:rsid w:val="004D1689"/>
    <w:rsid w:val="004E1DF4"/>
    <w:rsid w:val="004E27C5"/>
    <w:rsid w:val="004E2A3E"/>
    <w:rsid w:val="004E5E06"/>
    <w:rsid w:val="004E654A"/>
    <w:rsid w:val="004F047D"/>
    <w:rsid w:val="004F269E"/>
    <w:rsid w:val="004F6917"/>
    <w:rsid w:val="005024FD"/>
    <w:rsid w:val="00502774"/>
    <w:rsid w:val="00507939"/>
    <w:rsid w:val="005106FD"/>
    <w:rsid w:val="0051274E"/>
    <w:rsid w:val="0051761C"/>
    <w:rsid w:val="00531254"/>
    <w:rsid w:val="00542933"/>
    <w:rsid w:val="00545E43"/>
    <w:rsid w:val="00550B77"/>
    <w:rsid w:val="00553244"/>
    <w:rsid w:val="00561180"/>
    <w:rsid w:val="005634C6"/>
    <w:rsid w:val="005666A5"/>
    <w:rsid w:val="005672ED"/>
    <w:rsid w:val="005803D1"/>
    <w:rsid w:val="00581F6A"/>
    <w:rsid w:val="00594C37"/>
    <w:rsid w:val="005957E5"/>
    <w:rsid w:val="005A0905"/>
    <w:rsid w:val="005B28A6"/>
    <w:rsid w:val="005C0120"/>
    <w:rsid w:val="005C2BE8"/>
    <w:rsid w:val="005C656E"/>
    <w:rsid w:val="005C7FC1"/>
    <w:rsid w:val="005D2859"/>
    <w:rsid w:val="005D45DB"/>
    <w:rsid w:val="005E6FCF"/>
    <w:rsid w:val="005E7CB2"/>
    <w:rsid w:val="005F68E1"/>
    <w:rsid w:val="005F7E8B"/>
    <w:rsid w:val="0060609D"/>
    <w:rsid w:val="00606EB6"/>
    <w:rsid w:val="00610148"/>
    <w:rsid w:val="00611CE7"/>
    <w:rsid w:val="006216AF"/>
    <w:rsid w:val="0062385E"/>
    <w:rsid w:val="006253FF"/>
    <w:rsid w:val="0062585B"/>
    <w:rsid w:val="00626188"/>
    <w:rsid w:val="006263B6"/>
    <w:rsid w:val="00637972"/>
    <w:rsid w:val="0064058B"/>
    <w:rsid w:val="006424B9"/>
    <w:rsid w:val="006457C7"/>
    <w:rsid w:val="006465F0"/>
    <w:rsid w:val="006615BF"/>
    <w:rsid w:val="00671D8B"/>
    <w:rsid w:val="00673D62"/>
    <w:rsid w:val="006905BD"/>
    <w:rsid w:val="00690B51"/>
    <w:rsid w:val="0069192B"/>
    <w:rsid w:val="00691F39"/>
    <w:rsid w:val="00692FE7"/>
    <w:rsid w:val="006A0108"/>
    <w:rsid w:val="006A22AE"/>
    <w:rsid w:val="006A3B8D"/>
    <w:rsid w:val="006A553F"/>
    <w:rsid w:val="006C27B9"/>
    <w:rsid w:val="006C3151"/>
    <w:rsid w:val="006C4AA4"/>
    <w:rsid w:val="006D648C"/>
    <w:rsid w:val="006D7918"/>
    <w:rsid w:val="006E78B1"/>
    <w:rsid w:val="006F1A11"/>
    <w:rsid w:val="006F4774"/>
    <w:rsid w:val="00703C15"/>
    <w:rsid w:val="00713F76"/>
    <w:rsid w:val="00714373"/>
    <w:rsid w:val="00715692"/>
    <w:rsid w:val="00717C0E"/>
    <w:rsid w:val="007208E0"/>
    <w:rsid w:val="00724848"/>
    <w:rsid w:val="00737C56"/>
    <w:rsid w:val="00742684"/>
    <w:rsid w:val="00742D13"/>
    <w:rsid w:val="007473E0"/>
    <w:rsid w:val="00755F68"/>
    <w:rsid w:val="00757A77"/>
    <w:rsid w:val="007621C9"/>
    <w:rsid w:val="00762694"/>
    <w:rsid w:val="00762994"/>
    <w:rsid w:val="007642B6"/>
    <w:rsid w:val="007662C8"/>
    <w:rsid w:val="0077068A"/>
    <w:rsid w:val="00772FDF"/>
    <w:rsid w:val="00777B75"/>
    <w:rsid w:val="00783A2B"/>
    <w:rsid w:val="007873B4"/>
    <w:rsid w:val="007925F4"/>
    <w:rsid w:val="0079426C"/>
    <w:rsid w:val="007A6A83"/>
    <w:rsid w:val="007B08D7"/>
    <w:rsid w:val="007B560B"/>
    <w:rsid w:val="007B565A"/>
    <w:rsid w:val="007B7B82"/>
    <w:rsid w:val="007C11FA"/>
    <w:rsid w:val="007C6376"/>
    <w:rsid w:val="007C739C"/>
    <w:rsid w:val="007C7B2B"/>
    <w:rsid w:val="007D0B5B"/>
    <w:rsid w:val="007D659C"/>
    <w:rsid w:val="007D6B5B"/>
    <w:rsid w:val="007E3E6D"/>
    <w:rsid w:val="007E5E8B"/>
    <w:rsid w:val="007E67DE"/>
    <w:rsid w:val="007F0B16"/>
    <w:rsid w:val="00807F41"/>
    <w:rsid w:val="00812214"/>
    <w:rsid w:val="00812DED"/>
    <w:rsid w:val="00812E24"/>
    <w:rsid w:val="00814AFD"/>
    <w:rsid w:val="00834094"/>
    <w:rsid w:val="00835E58"/>
    <w:rsid w:val="00837440"/>
    <w:rsid w:val="00846746"/>
    <w:rsid w:val="008479A3"/>
    <w:rsid w:val="00857C06"/>
    <w:rsid w:val="00873885"/>
    <w:rsid w:val="008739C1"/>
    <w:rsid w:val="00876304"/>
    <w:rsid w:val="00884DE4"/>
    <w:rsid w:val="00885029"/>
    <w:rsid w:val="00885524"/>
    <w:rsid w:val="008873A6"/>
    <w:rsid w:val="008A003B"/>
    <w:rsid w:val="008A21CB"/>
    <w:rsid w:val="008A2B58"/>
    <w:rsid w:val="008B6AAC"/>
    <w:rsid w:val="008C2E35"/>
    <w:rsid w:val="008D0696"/>
    <w:rsid w:val="008D4358"/>
    <w:rsid w:val="008D505E"/>
    <w:rsid w:val="008E227F"/>
    <w:rsid w:val="008F5350"/>
    <w:rsid w:val="0091000F"/>
    <w:rsid w:val="00912DD2"/>
    <w:rsid w:val="009146C0"/>
    <w:rsid w:val="00916032"/>
    <w:rsid w:val="00917EE5"/>
    <w:rsid w:val="009208B9"/>
    <w:rsid w:val="009217DA"/>
    <w:rsid w:val="00925C6F"/>
    <w:rsid w:val="0092712D"/>
    <w:rsid w:val="009563F1"/>
    <w:rsid w:val="00956A95"/>
    <w:rsid w:val="00961907"/>
    <w:rsid w:val="0097033F"/>
    <w:rsid w:val="009755B4"/>
    <w:rsid w:val="009769E3"/>
    <w:rsid w:val="00986801"/>
    <w:rsid w:val="009902B3"/>
    <w:rsid w:val="00991B46"/>
    <w:rsid w:val="00997BBB"/>
    <w:rsid w:val="009A2240"/>
    <w:rsid w:val="009A497B"/>
    <w:rsid w:val="009B1381"/>
    <w:rsid w:val="009B5A82"/>
    <w:rsid w:val="009B79B9"/>
    <w:rsid w:val="009C0932"/>
    <w:rsid w:val="009C4EA1"/>
    <w:rsid w:val="009D0C2E"/>
    <w:rsid w:val="009D592D"/>
    <w:rsid w:val="009E5C14"/>
    <w:rsid w:val="009F6B5D"/>
    <w:rsid w:val="009F72BE"/>
    <w:rsid w:val="00A02409"/>
    <w:rsid w:val="00A059BC"/>
    <w:rsid w:val="00A13396"/>
    <w:rsid w:val="00A14913"/>
    <w:rsid w:val="00A213C1"/>
    <w:rsid w:val="00A2151A"/>
    <w:rsid w:val="00A2183F"/>
    <w:rsid w:val="00A21F8D"/>
    <w:rsid w:val="00A23E14"/>
    <w:rsid w:val="00A3245E"/>
    <w:rsid w:val="00A5290B"/>
    <w:rsid w:val="00A55447"/>
    <w:rsid w:val="00A60F0A"/>
    <w:rsid w:val="00A62A85"/>
    <w:rsid w:val="00A6480A"/>
    <w:rsid w:val="00A65BCA"/>
    <w:rsid w:val="00A72984"/>
    <w:rsid w:val="00A74FAC"/>
    <w:rsid w:val="00A92AD4"/>
    <w:rsid w:val="00AA4FBD"/>
    <w:rsid w:val="00AA5C0F"/>
    <w:rsid w:val="00AA64EE"/>
    <w:rsid w:val="00AB1B06"/>
    <w:rsid w:val="00AB414C"/>
    <w:rsid w:val="00AB4182"/>
    <w:rsid w:val="00AB6158"/>
    <w:rsid w:val="00AC2951"/>
    <w:rsid w:val="00AD3097"/>
    <w:rsid w:val="00AD7E37"/>
    <w:rsid w:val="00AE1AB1"/>
    <w:rsid w:val="00AE6D71"/>
    <w:rsid w:val="00AE7888"/>
    <w:rsid w:val="00AE7CE3"/>
    <w:rsid w:val="00AF08DF"/>
    <w:rsid w:val="00AF4E1A"/>
    <w:rsid w:val="00AF61FC"/>
    <w:rsid w:val="00AF7762"/>
    <w:rsid w:val="00B16645"/>
    <w:rsid w:val="00B20914"/>
    <w:rsid w:val="00B25267"/>
    <w:rsid w:val="00B25962"/>
    <w:rsid w:val="00B25DE9"/>
    <w:rsid w:val="00B26136"/>
    <w:rsid w:val="00B2647F"/>
    <w:rsid w:val="00B27F52"/>
    <w:rsid w:val="00B30F1A"/>
    <w:rsid w:val="00B310CD"/>
    <w:rsid w:val="00B31B95"/>
    <w:rsid w:val="00B32D7D"/>
    <w:rsid w:val="00B40A5C"/>
    <w:rsid w:val="00B4280A"/>
    <w:rsid w:val="00B43034"/>
    <w:rsid w:val="00B46168"/>
    <w:rsid w:val="00B52D15"/>
    <w:rsid w:val="00B54311"/>
    <w:rsid w:val="00B61E39"/>
    <w:rsid w:val="00B73027"/>
    <w:rsid w:val="00B733AD"/>
    <w:rsid w:val="00B763ED"/>
    <w:rsid w:val="00B7773C"/>
    <w:rsid w:val="00B91F3E"/>
    <w:rsid w:val="00B943E7"/>
    <w:rsid w:val="00BA0670"/>
    <w:rsid w:val="00BA428E"/>
    <w:rsid w:val="00BA6DED"/>
    <w:rsid w:val="00BC5A4A"/>
    <w:rsid w:val="00BD5E90"/>
    <w:rsid w:val="00BD64D0"/>
    <w:rsid w:val="00BE0948"/>
    <w:rsid w:val="00BE17FF"/>
    <w:rsid w:val="00BE27CF"/>
    <w:rsid w:val="00BE4254"/>
    <w:rsid w:val="00BF078D"/>
    <w:rsid w:val="00BF235D"/>
    <w:rsid w:val="00BF324E"/>
    <w:rsid w:val="00BF459A"/>
    <w:rsid w:val="00BF4DE7"/>
    <w:rsid w:val="00C04E8D"/>
    <w:rsid w:val="00C064E6"/>
    <w:rsid w:val="00C07427"/>
    <w:rsid w:val="00C07E1C"/>
    <w:rsid w:val="00C1255A"/>
    <w:rsid w:val="00C17C1B"/>
    <w:rsid w:val="00C229D8"/>
    <w:rsid w:val="00C25353"/>
    <w:rsid w:val="00C4274D"/>
    <w:rsid w:val="00C5123E"/>
    <w:rsid w:val="00C53381"/>
    <w:rsid w:val="00C604BA"/>
    <w:rsid w:val="00C65B4F"/>
    <w:rsid w:val="00C72891"/>
    <w:rsid w:val="00C90212"/>
    <w:rsid w:val="00C9145C"/>
    <w:rsid w:val="00C94081"/>
    <w:rsid w:val="00C97994"/>
    <w:rsid w:val="00C97F89"/>
    <w:rsid w:val="00CA131E"/>
    <w:rsid w:val="00CA2076"/>
    <w:rsid w:val="00CC32B6"/>
    <w:rsid w:val="00CE0443"/>
    <w:rsid w:val="00CF3469"/>
    <w:rsid w:val="00CF526D"/>
    <w:rsid w:val="00CF72DB"/>
    <w:rsid w:val="00CF736B"/>
    <w:rsid w:val="00D00078"/>
    <w:rsid w:val="00D108D0"/>
    <w:rsid w:val="00D16DDA"/>
    <w:rsid w:val="00D213ED"/>
    <w:rsid w:val="00D520D1"/>
    <w:rsid w:val="00D667FE"/>
    <w:rsid w:val="00D91704"/>
    <w:rsid w:val="00D9339D"/>
    <w:rsid w:val="00DB53A4"/>
    <w:rsid w:val="00DB5DA7"/>
    <w:rsid w:val="00DD31C4"/>
    <w:rsid w:val="00DD6B72"/>
    <w:rsid w:val="00DE1F75"/>
    <w:rsid w:val="00DE21F0"/>
    <w:rsid w:val="00DE45CF"/>
    <w:rsid w:val="00DE47EB"/>
    <w:rsid w:val="00DF70D2"/>
    <w:rsid w:val="00E00ABD"/>
    <w:rsid w:val="00E061FF"/>
    <w:rsid w:val="00E169C1"/>
    <w:rsid w:val="00E16C32"/>
    <w:rsid w:val="00E17E0B"/>
    <w:rsid w:val="00E20262"/>
    <w:rsid w:val="00E22472"/>
    <w:rsid w:val="00E245A5"/>
    <w:rsid w:val="00E26444"/>
    <w:rsid w:val="00E276B0"/>
    <w:rsid w:val="00E333D0"/>
    <w:rsid w:val="00E4779E"/>
    <w:rsid w:val="00E47AAD"/>
    <w:rsid w:val="00E47E74"/>
    <w:rsid w:val="00E50103"/>
    <w:rsid w:val="00E603C8"/>
    <w:rsid w:val="00E611EC"/>
    <w:rsid w:val="00E637AA"/>
    <w:rsid w:val="00E63A29"/>
    <w:rsid w:val="00E63BF4"/>
    <w:rsid w:val="00E75319"/>
    <w:rsid w:val="00E777DD"/>
    <w:rsid w:val="00E869EA"/>
    <w:rsid w:val="00E94538"/>
    <w:rsid w:val="00E953F9"/>
    <w:rsid w:val="00E9654F"/>
    <w:rsid w:val="00EA6C17"/>
    <w:rsid w:val="00EB49FF"/>
    <w:rsid w:val="00EB79D1"/>
    <w:rsid w:val="00ED0436"/>
    <w:rsid w:val="00EF7A25"/>
    <w:rsid w:val="00F0353F"/>
    <w:rsid w:val="00F03A7C"/>
    <w:rsid w:val="00F04EE4"/>
    <w:rsid w:val="00F06907"/>
    <w:rsid w:val="00F11B69"/>
    <w:rsid w:val="00F11DD5"/>
    <w:rsid w:val="00F1206D"/>
    <w:rsid w:val="00F13081"/>
    <w:rsid w:val="00F23A9A"/>
    <w:rsid w:val="00F31D04"/>
    <w:rsid w:val="00F513F9"/>
    <w:rsid w:val="00F5390E"/>
    <w:rsid w:val="00F73EBD"/>
    <w:rsid w:val="00F76108"/>
    <w:rsid w:val="00F7785D"/>
    <w:rsid w:val="00F8661E"/>
    <w:rsid w:val="00F87ABC"/>
    <w:rsid w:val="00F92051"/>
    <w:rsid w:val="00F9353F"/>
    <w:rsid w:val="00FA0D43"/>
    <w:rsid w:val="00FA31D4"/>
    <w:rsid w:val="00FB1E69"/>
    <w:rsid w:val="00FB293B"/>
    <w:rsid w:val="00FB2FDE"/>
    <w:rsid w:val="00FC1275"/>
    <w:rsid w:val="00FC48C1"/>
    <w:rsid w:val="00FC6B65"/>
    <w:rsid w:val="00FE2411"/>
    <w:rsid w:val="00FE4A8B"/>
    <w:rsid w:val="00FE76CB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168E8318-76A5-48E8-81BB-B9222860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130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42373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A85"/>
    <w:rPr>
      <w:sz w:val="20"/>
      <w:szCs w:val="20"/>
    </w:rPr>
  </w:style>
  <w:style w:type="paragraph" w:styleId="a7">
    <w:name w:val="List Paragraph"/>
    <w:basedOn w:val="a"/>
    <w:uiPriority w:val="34"/>
    <w:qFormat/>
    <w:rsid w:val="00A62A85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A62A85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A62A8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62A85"/>
    <w:rPr>
      <w:vertAlign w:val="superscript"/>
    </w:rPr>
  </w:style>
  <w:style w:type="table" w:styleId="ab">
    <w:name w:val="Table Grid"/>
    <w:basedOn w:val="a1"/>
    <w:uiPriority w:val="39"/>
    <w:rsid w:val="0036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130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annotation reference"/>
    <w:basedOn w:val="a0"/>
    <w:uiPriority w:val="99"/>
    <w:semiHidden/>
    <w:unhideWhenUsed/>
    <w:rsid w:val="00BE17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17FF"/>
  </w:style>
  <w:style w:type="character" w:customStyle="1" w:styleId="ae">
    <w:name w:val="註解文字 字元"/>
    <w:basedOn w:val="a0"/>
    <w:link w:val="ad"/>
    <w:uiPriority w:val="99"/>
    <w:semiHidden/>
    <w:rsid w:val="00BE17F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E17F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E17F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E1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E17F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7E67DE"/>
    <w:pPr>
      <w:snapToGrid w:val="0"/>
    </w:pPr>
  </w:style>
  <w:style w:type="character" w:customStyle="1" w:styleId="af4">
    <w:name w:val="章節附註文字 字元"/>
    <w:basedOn w:val="a0"/>
    <w:link w:val="af3"/>
    <w:uiPriority w:val="99"/>
    <w:semiHidden/>
    <w:rsid w:val="007E67DE"/>
  </w:style>
  <w:style w:type="character" w:styleId="af5">
    <w:name w:val="endnote reference"/>
    <w:basedOn w:val="a0"/>
    <w:uiPriority w:val="99"/>
    <w:semiHidden/>
    <w:unhideWhenUsed/>
    <w:rsid w:val="007E67DE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42373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99DCB-E8D0-4128-BD67-F7402C00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9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dcterms:created xsi:type="dcterms:W3CDTF">2021-10-18T08:29:00Z</dcterms:created>
  <dcterms:modified xsi:type="dcterms:W3CDTF">2021-11-22T03:40:00Z</dcterms:modified>
</cp:coreProperties>
</file>