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8C" w:rsidRPr="0000797F" w:rsidRDefault="00D5278C" w:rsidP="00EA2680">
      <w:pPr>
        <w:spacing w:line="440" w:lineRule="exact"/>
        <w:jc w:val="center"/>
        <w:rPr>
          <w:rFonts w:ascii="標楷體" w:hAnsi="標楷體"/>
          <w:b/>
          <w:sz w:val="36"/>
          <w:szCs w:val="36"/>
        </w:rPr>
      </w:pPr>
      <w:r w:rsidRPr="0000797F">
        <w:rPr>
          <w:rFonts w:ascii="標楷體" w:hAnsi="標楷體" w:hint="eastAsia"/>
          <w:b/>
          <w:sz w:val="36"/>
          <w:szCs w:val="36"/>
        </w:rPr>
        <w:t>國立嘉義大學</w:t>
      </w:r>
    </w:p>
    <w:p w:rsidR="00D5278C" w:rsidRPr="0000797F" w:rsidRDefault="00D5278C" w:rsidP="00EA2680">
      <w:pPr>
        <w:spacing w:line="440" w:lineRule="exact"/>
        <w:jc w:val="center"/>
        <w:rPr>
          <w:rFonts w:ascii="標楷體" w:hAnsi="標楷體"/>
          <w:b/>
          <w:sz w:val="36"/>
          <w:szCs w:val="36"/>
        </w:rPr>
      </w:pPr>
      <w:r w:rsidRPr="0000797F">
        <w:rPr>
          <w:rFonts w:ascii="標楷體" w:hAnsi="標楷體" w:hint="eastAsia"/>
          <w:b/>
          <w:sz w:val="36"/>
          <w:szCs w:val="36"/>
        </w:rPr>
        <w:t>10</w:t>
      </w:r>
      <w:r w:rsidR="007C3D27">
        <w:rPr>
          <w:rFonts w:ascii="標楷體" w:hAnsi="標楷體" w:hint="eastAsia"/>
          <w:b/>
          <w:sz w:val="36"/>
          <w:szCs w:val="36"/>
        </w:rPr>
        <w:t>5</w:t>
      </w:r>
      <w:r w:rsidRPr="0000797F">
        <w:rPr>
          <w:rFonts w:ascii="標楷體" w:hAnsi="標楷體" w:hint="eastAsia"/>
          <w:b/>
          <w:sz w:val="36"/>
          <w:szCs w:val="36"/>
        </w:rPr>
        <w:t>年度內部控制作業稽核計畫</w:t>
      </w:r>
    </w:p>
    <w:p w:rsidR="00D5278C" w:rsidRPr="0000797F" w:rsidRDefault="00D5278C" w:rsidP="00EA2680">
      <w:pPr>
        <w:spacing w:line="440" w:lineRule="exact"/>
        <w:jc w:val="right"/>
        <w:rPr>
          <w:rFonts w:ascii="標楷體" w:hAnsi="標楷體"/>
          <w:spacing w:val="-20"/>
          <w:sz w:val="20"/>
        </w:rPr>
      </w:pPr>
      <w:r w:rsidRPr="0000797F">
        <w:rPr>
          <w:rFonts w:ascii="標楷體" w:hAnsi="標楷體" w:hint="eastAsia"/>
          <w:spacing w:val="-20"/>
          <w:sz w:val="20"/>
        </w:rPr>
        <w:t>10</w:t>
      </w:r>
      <w:r w:rsidR="00983A66">
        <w:rPr>
          <w:rFonts w:ascii="標楷體" w:hAnsi="標楷體" w:hint="eastAsia"/>
          <w:spacing w:val="-20"/>
          <w:sz w:val="20"/>
        </w:rPr>
        <w:t>5</w:t>
      </w:r>
      <w:r w:rsidRPr="0000797F">
        <w:rPr>
          <w:rFonts w:ascii="標楷體" w:hAnsi="標楷體" w:hint="eastAsia"/>
          <w:spacing w:val="-20"/>
          <w:sz w:val="20"/>
        </w:rPr>
        <w:t>年</w:t>
      </w:r>
      <w:r w:rsidR="00983A66">
        <w:rPr>
          <w:rFonts w:ascii="標楷體" w:hAnsi="標楷體" w:hint="eastAsia"/>
          <w:spacing w:val="-20"/>
          <w:sz w:val="20"/>
        </w:rPr>
        <w:t>6</w:t>
      </w:r>
      <w:r>
        <w:rPr>
          <w:rFonts w:ascii="標楷體" w:hAnsi="標楷體" w:hint="eastAsia"/>
          <w:spacing w:val="-20"/>
          <w:sz w:val="20"/>
        </w:rPr>
        <w:t xml:space="preserve"> </w:t>
      </w:r>
      <w:r w:rsidRPr="0000797F">
        <w:rPr>
          <w:rFonts w:ascii="標楷體" w:hAnsi="標楷體" w:hint="eastAsia"/>
          <w:spacing w:val="-20"/>
          <w:sz w:val="20"/>
        </w:rPr>
        <w:t>月</w:t>
      </w:r>
      <w:r w:rsidR="00EA2680">
        <w:rPr>
          <w:rFonts w:ascii="標楷體" w:hAnsi="標楷體" w:hint="eastAsia"/>
          <w:spacing w:val="-20"/>
          <w:sz w:val="20"/>
        </w:rPr>
        <w:t xml:space="preserve"> </w:t>
      </w:r>
      <w:r w:rsidR="00341A35">
        <w:rPr>
          <w:rFonts w:ascii="標楷體" w:hAnsi="標楷體" w:hint="eastAsia"/>
          <w:spacing w:val="-20"/>
          <w:sz w:val="20"/>
        </w:rPr>
        <w:t>22</w:t>
      </w:r>
      <w:r>
        <w:rPr>
          <w:rFonts w:ascii="標楷體" w:hAnsi="標楷體" w:hint="eastAsia"/>
          <w:spacing w:val="-20"/>
          <w:sz w:val="20"/>
        </w:rPr>
        <w:t xml:space="preserve"> </w:t>
      </w:r>
      <w:r w:rsidRPr="0000797F">
        <w:rPr>
          <w:rFonts w:ascii="標楷體" w:hAnsi="標楷體" w:hint="eastAsia"/>
          <w:spacing w:val="-20"/>
          <w:sz w:val="20"/>
        </w:rPr>
        <w:t>日10</w:t>
      </w:r>
      <w:r w:rsidR="00EA2680">
        <w:rPr>
          <w:rFonts w:ascii="標楷體" w:hAnsi="標楷體" w:hint="eastAsia"/>
          <w:spacing w:val="-20"/>
          <w:sz w:val="20"/>
        </w:rPr>
        <w:t>4</w:t>
      </w:r>
      <w:r w:rsidRPr="0000797F">
        <w:rPr>
          <w:rFonts w:ascii="標楷體" w:hAnsi="標楷體" w:hint="eastAsia"/>
          <w:spacing w:val="-20"/>
          <w:sz w:val="20"/>
        </w:rPr>
        <w:t>學年度第</w:t>
      </w:r>
      <w:r>
        <w:rPr>
          <w:rFonts w:ascii="標楷體" w:hAnsi="標楷體" w:hint="eastAsia"/>
          <w:spacing w:val="-20"/>
          <w:sz w:val="20"/>
        </w:rPr>
        <w:t>2</w:t>
      </w:r>
      <w:r w:rsidRPr="0000797F">
        <w:rPr>
          <w:rFonts w:ascii="標楷體" w:hAnsi="標楷體" w:hint="eastAsia"/>
          <w:spacing w:val="-20"/>
          <w:sz w:val="20"/>
        </w:rPr>
        <w:t>學期第1次內部控制專案小組會議通過</w:t>
      </w:r>
    </w:p>
    <w:p w:rsidR="00D5278C" w:rsidRPr="00FD524F" w:rsidRDefault="00D5278C" w:rsidP="00EA2680">
      <w:pPr>
        <w:pStyle w:val="a3"/>
        <w:numPr>
          <w:ilvl w:val="0"/>
          <w:numId w:val="1"/>
        </w:numPr>
        <w:spacing w:line="440" w:lineRule="exact"/>
        <w:ind w:leftChars="0" w:left="709" w:hanging="709"/>
        <w:jc w:val="both"/>
        <w:rPr>
          <w:rFonts w:ascii="標楷體" w:hAnsi="標楷體"/>
          <w:b/>
          <w:sz w:val="28"/>
          <w:szCs w:val="28"/>
        </w:rPr>
      </w:pPr>
      <w:r w:rsidRPr="00FD524F">
        <w:rPr>
          <w:rFonts w:ascii="標楷體" w:hAnsi="標楷體" w:hint="eastAsia"/>
          <w:b/>
          <w:sz w:val="28"/>
          <w:szCs w:val="28"/>
        </w:rPr>
        <w:t>依據</w:t>
      </w:r>
    </w:p>
    <w:p w:rsidR="00D5278C" w:rsidRDefault="00D5278C" w:rsidP="00EA2680">
      <w:pPr>
        <w:pStyle w:val="a3"/>
        <w:spacing w:line="440" w:lineRule="exact"/>
        <w:ind w:leftChars="0" w:left="720"/>
        <w:jc w:val="both"/>
        <w:rPr>
          <w:rFonts w:ascii="標楷體" w:hAnsi="標楷體"/>
          <w:sz w:val="28"/>
          <w:szCs w:val="28"/>
        </w:rPr>
      </w:pPr>
      <w:r w:rsidRPr="00E41894">
        <w:rPr>
          <w:rFonts w:ascii="標楷體" w:hAnsi="標楷體" w:hint="eastAsia"/>
          <w:sz w:val="28"/>
          <w:szCs w:val="28"/>
        </w:rPr>
        <w:t>為具體落實各項內部控制作業</w:t>
      </w:r>
      <w:r w:rsidR="007C3D27">
        <w:rPr>
          <w:rFonts w:ascii="標楷體" w:hAnsi="標楷體" w:hint="eastAsia"/>
          <w:sz w:val="28"/>
          <w:szCs w:val="28"/>
        </w:rPr>
        <w:t>，</w:t>
      </w:r>
      <w:r w:rsidRPr="00E41894">
        <w:rPr>
          <w:rFonts w:ascii="標楷體" w:hAnsi="標楷體" w:hint="eastAsia"/>
          <w:sz w:val="28"/>
          <w:szCs w:val="28"/>
        </w:rPr>
        <w:t>確保內部控制制度能持續有效運作</w:t>
      </w:r>
      <w:r w:rsidR="007C3D27">
        <w:rPr>
          <w:rFonts w:ascii="標楷體" w:hAnsi="標楷體" w:hint="eastAsia"/>
          <w:sz w:val="28"/>
          <w:szCs w:val="28"/>
        </w:rPr>
        <w:t>，以</w:t>
      </w:r>
      <w:r w:rsidRPr="00E41894">
        <w:rPr>
          <w:rFonts w:ascii="標楷體" w:hAnsi="標楷體" w:hint="eastAsia"/>
          <w:sz w:val="28"/>
          <w:szCs w:val="28"/>
        </w:rPr>
        <w:t>達成本校各項施政目標，爰依</w:t>
      </w:r>
      <w:r w:rsidR="007C3D27">
        <w:rPr>
          <w:rFonts w:ascii="標楷體" w:hAnsi="標楷體" w:hint="eastAsia"/>
          <w:sz w:val="28"/>
          <w:szCs w:val="28"/>
        </w:rPr>
        <w:t>行政院</w:t>
      </w:r>
      <w:r w:rsidRPr="00E41894">
        <w:rPr>
          <w:rFonts w:ascii="標楷體" w:hAnsi="標楷體" w:hint="eastAsia"/>
          <w:sz w:val="28"/>
          <w:szCs w:val="28"/>
        </w:rPr>
        <w:t>「政府內部</w:t>
      </w:r>
      <w:r w:rsidR="007C3D27">
        <w:rPr>
          <w:rFonts w:ascii="標楷體" w:hAnsi="標楷體" w:hint="eastAsia"/>
          <w:sz w:val="28"/>
          <w:szCs w:val="28"/>
        </w:rPr>
        <w:t>控制監督作業要點</w:t>
      </w:r>
      <w:r w:rsidRPr="00E41894">
        <w:rPr>
          <w:rFonts w:ascii="標楷體" w:hAnsi="標楷體" w:hint="eastAsia"/>
          <w:sz w:val="28"/>
          <w:szCs w:val="28"/>
        </w:rPr>
        <w:t>」規定，訂定本校10</w:t>
      </w:r>
      <w:r w:rsidR="007C3D27">
        <w:rPr>
          <w:rFonts w:ascii="標楷體" w:hAnsi="標楷體" w:hint="eastAsia"/>
          <w:sz w:val="28"/>
          <w:szCs w:val="28"/>
        </w:rPr>
        <w:t>5</w:t>
      </w:r>
      <w:r w:rsidRPr="00E41894">
        <w:rPr>
          <w:rFonts w:ascii="標楷體" w:hAnsi="標楷體" w:hint="eastAsia"/>
          <w:sz w:val="28"/>
          <w:szCs w:val="28"/>
        </w:rPr>
        <w:t>年度內部控制作業稽核計畫(以下簡稱本計畫)。</w:t>
      </w:r>
    </w:p>
    <w:p w:rsidR="00D5278C" w:rsidRPr="007C3D27" w:rsidRDefault="00D5278C" w:rsidP="00EA2680">
      <w:pPr>
        <w:spacing w:line="440" w:lineRule="exact"/>
        <w:ind w:leftChars="250" w:left="600"/>
        <w:jc w:val="both"/>
        <w:rPr>
          <w:rFonts w:ascii="標楷體" w:hAnsi="標楷體"/>
          <w:sz w:val="28"/>
          <w:szCs w:val="28"/>
        </w:rPr>
      </w:pPr>
    </w:p>
    <w:p w:rsidR="00D5278C" w:rsidRPr="00FD524F" w:rsidRDefault="00D5278C" w:rsidP="00EA2680">
      <w:pPr>
        <w:spacing w:line="440" w:lineRule="exact"/>
        <w:jc w:val="both"/>
        <w:rPr>
          <w:rFonts w:ascii="標楷體" w:hAnsi="標楷體"/>
          <w:b/>
          <w:sz w:val="28"/>
          <w:szCs w:val="28"/>
        </w:rPr>
      </w:pPr>
      <w:r w:rsidRPr="00FD524F">
        <w:rPr>
          <w:rFonts w:ascii="標楷體" w:hAnsi="標楷體" w:hint="eastAsia"/>
          <w:b/>
          <w:sz w:val="28"/>
          <w:szCs w:val="28"/>
        </w:rPr>
        <w:t>貳、</w:t>
      </w:r>
      <w:r>
        <w:rPr>
          <w:rFonts w:ascii="標楷體" w:hAnsi="標楷體" w:hint="eastAsia"/>
          <w:b/>
          <w:sz w:val="28"/>
          <w:szCs w:val="28"/>
        </w:rPr>
        <w:t>稽核</w:t>
      </w:r>
      <w:r w:rsidR="0075002B">
        <w:rPr>
          <w:rFonts w:ascii="標楷體" w:hAnsi="標楷體" w:hint="eastAsia"/>
          <w:b/>
          <w:sz w:val="28"/>
          <w:szCs w:val="28"/>
        </w:rPr>
        <w:t>項目</w:t>
      </w:r>
      <w:r w:rsidR="00B17000">
        <w:rPr>
          <w:rFonts w:ascii="標楷體" w:hAnsi="標楷體" w:hint="eastAsia"/>
          <w:b/>
          <w:sz w:val="28"/>
          <w:szCs w:val="28"/>
        </w:rPr>
        <w:t>來源</w:t>
      </w:r>
      <w:r w:rsidR="0075002B">
        <w:rPr>
          <w:rFonts w:ascii="標楷體" w:hAnsi="標楷體" w:hint="eastAsia"/>
          <w:b/>
          <w:sz w:val="28"/>
          <w:szCs w:val="28"/>
        </w:rPr>
        <w:t>及目的</w:t>
      </w:r>
    </w:p>
    <w:p w:rsidR="002D05E5" w:rsidRDefault="0075002B" w:rsidP="00983A66">
      <w:pPr>
        <w:pStyle w:val="a3"/>
        <w:numPr>
          <w:ilvl w:val="0"/>
          <w:numId w:val="5"/>
        </w:numPr>
        <w:spacing w:line="440" w:lineRule="exact"/>
        <w:ind w:leftChars="0" w:left="1008" w:hanging="581"/>
        <w:jc w:val="both"/>
        <w:rPr>
          <w:rFonts w:ascii="標楷體" w:hAnsi="標楷體"/>
          <w:sz w:val="28"/>
          <w:szCs w:val="28"/>
        </w:rPr>
      </w:pPr>
      <w:r>
        <w:rPr>
          <w:rFonts w:ascii="標楷體" w:hAnsi="標楷體" w:hint="eastAsia"/>
          <w:sz w:val="28"/>
          <w:szCs w:val="28"/>
        </w:rPr>
        <w:t>稽核項目</w:t>
      </w:r>
    </w:p>
    <w:p w:rsidR="00D5278C" w:rsidRDefault="00D5278C" w:rsidP="00665F9A">
      <w:pPr>
        <w:pStyle w:val="a3"/>
        <w:numPr>
          <w:ilvl w:val="1"/>
          <w:numId w:val="5"/>
        </w:numPr>
        <w:spacing w:line="440" w:lineRule="exact"/>
        <w:ind w:leftChars="0" w:left="1358" w:hanging="649"/>
        <w:jc w:val="both"/>
        <w:rPr>
          <w:rFonts w:ascii="標楷體" w:hAnsi="標楷體"/>
          <w:sz w:val="28"/>
          <w:szCs w:val="28"/>
        </w:rPr>
      </w:pPr>
      <w:r w:rsidRPr="007C3D27">
        <w:rPr>
          <w:rFonts w:ascii="標楷體" w:hAnsi="標楷體" w:hint="eastAsia"/>
          <w:sz w:val="28"/>
          <w:szCs w:val="28"/>
        </w:rPr>
        <w:t>審計部中央政府總決算審核報告重要審核意見</w:t>
      </w:r>
      <w:r w:rsidR="00C55992">
        <w:rPr>
          <w:rFonts w:ascii="標楷體" w:hAnsi="標楷體" w:hint="eastAsia"/>
          <w:sz w:val="28"/>
          <w:szCs w:val="28"/>
        </w:rPr>
        <w:t>屬近三年發生類同內部控制缺失事項，次年經審計部追蹤查核結果仍待</w:t>
      </w:r>
      <w:r w:rsidR="00177871">
        <w:rPr>
          <w:rFonts w:ascii="標楷體" w:hAnsi="標楷體" w:hint="eastAsia"/>
          <w:sz w:val="28"/>
          <w:szCs w:val="28"/>
        </w:rPr>
        <w:t>繼續改善，並再綜合研提審核意見者，應</w:t>
      </w:r>
      <w:r w:rsidR="00177871" w:rsidRPr="00177871">
        <w:rPr>
          <w:rFonts w:ascii="標楷體" w:hAnsi="標楷體" w:hint="eastAsia"/>
          <w:color w:val="FF0000"/>
          <w:sz w:val="28"/>
          <w:szCs w:val="28"/>
        </w:rPr>
        <w:t>稽核其檢討</w:t>
      </w:r>
      <w:r w:rsidRPr="00177871">
        <w:rPr>
          <w:rFonts w:ascii="標楷體" w:hAnsi="標楷體" w:hint="eastAsia"/>
          <w:color w:val="FF0000"/>
          <w:sz w:val="28"/>
          <w:szCs w:val="28"/>
        </w:rPr>
        <w:t>改善情形</w:t>
      </w:r>
      <w:r w:rsidRPr="007C3D27">
        <w:rPr>
          <w:rFonts w:ascii="標楷體" w:hAnsi="標楷體" w:hint="eastAsia"/>
          <w:sz w:val="28"/>
          <w:szCs w:val="28"/>
        </w:rPr>
        <w:t>。</w:t>
      </w:r>
    </w:p>
    <w:p w:rsidR="00177871" w:rsidRDefault="00177871" w:rsidP="00177871">
      <w:pPr>
        <w:pStyle w:val="a3"/>
        <w:numPr>
          <w:ilvl w:val="1"/>
          <w:numId w:val="5"/>
        </w:numPr>
        <w:spacing w:line="440" w:lineRule="exact"/>
        <w:ind w:leftChars="0" w:left="1358" w:hanging="649"/>
        <w:jc w:val="both"/>
        <w:rPr>
          <w:rFonts w:ascii="標楷體" w:hAnsi="標楷體"/>
          <w:sz w:val="28"/>
          <w:szCs w:val="28"/>
        </w:rPr>
      </w:pPr>
      <w:r>
        <w:rPr>
          <w:rFonts w:ascii="標楷體" w:hAnsi="標楷體" w:hint="eastAsia"/>
          <w:sz w:val="28"/>
          <w:szCs w:val="28"/>
        </w:rPr>
        <w:t>自內部控制制度擇定一定比例之作業項目，</w:t>
      </w:r>
      <w:r w:rsidRPr="00C55992">
        <w:rPr>
          <w:rFonts w:ascii="標楷體" w:hAnsi="標楷體" w:hint="eastAsia"/>
          <w:color w:val="FF0000"/>
          <w:sz w:val="28"/>
          <w:szCs w:val="28"/>
        </w:rPr>
        <w:t>稽核其控制重點之有效性及合理性</w:t>
      </w:r>
      <w:r>
        <w:rPr>
          <w:rFonts w:ascii="標楷體" w:hAnsi="標楷體" w:hint="eastAsia"/>
          <w:sz w:val="28"/>
          <w:szCs w:val="28"/>
        </w:rPr>
        <w:t>。</w:t>
      </w:r>
    </w:p>
    <w:p w:rsidR="002D05E5" w:rsidRDefault="002D05E5" w:rsidP="00665F9A">
      <w:pPr>
        <w:pStyle w:val="a3"/>
        <w:numPr>
          <w:ilvl w:val="1"/>
          <w:numId w:val="5"/>
        </w:numPr>
        <w:spacing w:line="440" w:lineRule="exact"/>
        <w:ind w:leftChars="0" w:left="1358" w:hanging="649"/>
        <w:jc w:val="both"/>
        <w:rPr>
          <w:rFonts w:ascii="標楷體" w:hAnsi="標楷體"/>
          <w:sz w:val="28"/>
          <w:szCs w:val="28"/>
        </w:rPr>
      </w:pPr>
      <w:r>
        <w:rPr>
          <w:rFonts w:ascii="標楷體" w:hAnsi="標楷體" w:hint="eastAsia"/>
          <w:sz w:val="28"/>
          <w:szCs w:val="28"/>
        </w:rPr>
        <w:t>利用資訊系統自動處理業務控管流程或資料勾稽比對案件之料異動紀錄等，經評估存有遭蓄意竊取、竄改或洩漏資料等風險者</w:t>
      </w:r>
      <w:r w:rsidR="00177871">
        <w:rPr>
          <w:rFonts w:ascii="標楷體" w:hAnsi="標楷體" w:hint="eastAsia"/>
          <w:sz w:val="28"/>
          <w:szCs w:val="28"/>
        </w:rPr>
        <w:t>，</w:t>
      </w:r>
      <w:r w:rsidR="00177871" w:rsidRPr="00177871">
        <w:rPr>
          <w:rFonts w:ascii="標楷體" w:hAnsi="標楷體" w:hint="eastAsia"/>
          <w:color w:val="FF0000"/>
          <w:sz w:val="28"/>
          <w:szCs w:val="28"/>
        </w:rPr>
        <w:t>稽核其資訊系統資料管理機制</w:t>
      </w:r>
      <w:r>
        <w:rPr>
          <w:rFonts w:ascii="標楷體" w:hAnsi="標楷體" w:hint="eastAsia"/>
          <w:sz w:val="28"/>
          <w:szCs w:val="28"/>
        </w:rPr>
        <w:t>。</w:t>
      </w:r>
    </w:p>
    <w:p w:rsidR="00177871" w:rsidRDefault="00177871" w:rsidP="00665F9A">
      <w:pPr>
        <w:pStyle w:val="a3"/>
        <w:numPr>
          <w:ilvl w:val="1"/>
          <w:numId w:val="5"/>
        </w:numPr>
        <w:spacing w:line="440" w:lineRule="exact"/>
        <w:ind w:leftChars="0" w:left="1358" w:hanging="649"/>
        <w:jc w:val="both"/>
        <w:rPr>
          <w:rFonts w:ascii="標楷體" w:hAnsi="標楷體"/>
          <w:sz w:val="28"/>
          <w:szCs w:val="28"/>
        </w:rPr>
      </w:pPr>
      <w:r>
        <w:rPr>
          <w:rFonts w:ascii="標楷體" w:hAnsi="標楷體" w:hint="eastAsia"/>
          <w:sz w:val="28"/>
          <w:szCs w:val="28"/>
        </w:rPr>
        <w:t>年度施政計畫所提關鍵績效指標，</w:t>
      </w:r>
      <w:r w:rsidRPr="00177871">
        <w:rPr>
          <w:rFonts w:ascii="標楷體" w:hAnsi="標楷體" w:hint="eastAsia"/>
          <w:color w:val="FF0000"/>
          <w:sz w:val="28"/>
          <w:szCs w:val="28"/>
        </w:rPr>
        <w:t>稽核其指標訂定之合理性及達成情形</w:t>
      </w:r>
      <w:r>
        <w:rPr>
          <w:rFonts w:ascii="標楷體" w:hAnsi="標楷體" w:hint="eastAsia"/>
          <w:sz w:val="28"/>
          <w:szCs w:val="28"/>
        </w:rPr>
        <w:t>。</w:t>
      </w:r>
    </w:p>
    <w:p w:rsidR="00177871" w:rsidRDefault="00177871" w:rsidP="00665F9A">
      <w:pPr>
        <w:pStyle w:val="a3"/>
        <w:numPr>
          <w:ilvl w:val="1"/>
          <w:numId w:val="5"/>
        </w:numPr>
        <w:spacing w:line="440" w:lineRule="exact"/>
        <w:ind w:leftChars="0" w:left="1358" w:hanging="649"/>
        <w:jc w:val="both"/>
        <w:rPr>
          <w:rFonts w:ascii="標楷體" w:hAnsi="標楷體"/>
          <w:sz w:val="28"/>
          <w:szCs w:val="28"/>
        </w:rPr>
      </w:pPr>
      <w:r>
        <w:rPr>
          <w:rFonts w:ascii="標楷體" w:hAnsi="標楷體" w:hint="eastAsia"/>
          <w:sz w:val="28"/>
          <w:szCs w:val="28"/>
        </w:rPr>
        <w:t>跨機</w:t>
      </w:r>
      <w:r w:rsidR="003207B2">
        <w:rPr>
          <w:rFonts w:ascii="標楷體" w:hAnsi="標楷體" w:hint="eastAsia"/>
          <w:sz w:val="28"/>
          <w:szCs w:val="28"/>
        </w:rPr>
        <w:t>關</w:t>
      </w:r>
      <w:r>
        <w:rPr>
          <w:rFonts w:ascii="標楷體" w:hAnsi="標楷體" w:hint="eastAsia"/>
          <w:sz w:val="28"/>
          <w:szCs w:val="28"/>
        </w:rPr>
        <w:t>整合業務、占機關年度預算比例較高之業務、久未辦理內部、外部稽核或評估之業務、影響政府公信力之潛在風險案件，</w:t>
      </w:r>
      <w:r w:rsidRPr="00177871">
        <w:rPr>
          <w:rFonts w:ascii="標楷體" w:hAnsi="標楷體" w:hint="eastAsia"/>
          <w:color w:val="FF0000"/>
          <w:sz w:val="28"/>
          <w:szCs w:val="28"/>
        </w:rPr>
        <w:t>稽核其執行情形或成效等</w:t>
      </w:r>
      <w:r>
        <w:rPr>
          <w:rFonts w:ascii="標楷體" w:hAnsi="標楷體" w:hint="eastAsia"/>
          <w:sz w:val="28"/>
          <w:szCs w:val="28"/>
        </w:rPr>
        <w:t>。</w:t>
      </w:r>
    </w:p>
    <w:p w:rsidR="00177871" w:rsidRDefault="00177871" w:rsidP="00665F9A">
      <w:pPr>
        <w:pStyle w:val="a3"/>
        <w:numPr>
          <w:ilvl w:val="1"/>
          <w:numId w:val="5"/>
        </w:numPr>
        <w:spacing w:line="440" w:lineRule="exact"/>
        <w:ind w:leftChars="0" w:left="1358" w:hanging="649"/>
        <w:jc w:val="both"/>
        <w:rPr>
          <w:rFonts w:ascii="標楷體" w:hAnsi="標楷體"/>
          <w:sz w:val="28"/>
          <w:szCs w:val="28"/>
        </w:rPr>
      </w:pPr>
      <w:r>
        <w:rPr>
          <w:rFonts w:ascii="標楷體" w:hAnsi="標楷體" w:hint="eastAsia"/>
          <w:sz w:val="28"/>
          <w:szCs w:val="28"/>
        </w:rPr>
        <w:t>其他重大議題。</w:t>
      </w:r>
    </w:p>
    <w:p w:rsidR="002D05E5" w:rsidRDefault="002D05E5" w:rsidP="00983A66">
      <w:pPr>
        <w:pStyle w:val="a3"/>
        <w:numPr>
          <w:ilvl w:val="0"/>
          <w:numId w:val="5"/>
        </w:numPr>
        <w:spacing w:line="440" w:lineRule="exact"/>
        <w:ind w:leftChars="0" w:left="1050" w:hanging="616"/>
        <w:jc w:val="both"/>
        <w:rPr>
          <w:rFonts w:ascii="標楷體" w:hAnsi="標楷體"/>
          <w:sz w:val="28"/>
          <w:szCs w:val="28"/>
        </w:rPr>
      </w:pPr>
      <w:r>
        <w:rPr>
          <w:rFonts w:ascii="標楷體" w:hAnsi="標楷體" w:hint="eastAsia"/>
          <w:sz w:val="28"/>
          <w:szCs w:val="28"/>
        </w:rPr>
        <w:t>稽核目的</w:t>
      </w:r>
    </w:p>
    <w:p w:rsidR="00D5278C" w:rsidRPr="007C3D27" w:rsidRDefault="00D5278C" w:rsidP="00EA2680">
      <w:pPr>
        <w:pStyle w:val="a3"/>
        <w:spacing w:line="440" w:lineRule="exact"/>
        <w:ind w:leftChars="0" w:left="980"/>
        <w:jc w:val="both"/>
        <w:rPr>
          <w:rFonts w:ascii="標楷體" w:hAnsi="標楷體"/>
          <w:sz w:val="28"/>
          <w:szCs w:val="28"/>
        </w:rPr>
      </w:pPr>
      <w:r w:rsidRPr="007C3D27">
        <w:rPr>
          <w:rFonts w:ascii="標楷體" w:hAnsi="標楷體" w:hint="eastAsia"/>
          <w:sz w:val="28"/>
          <w:szCs w:val="28"/>
        </w:rPr>
        <w:t>針對各業務事項及作業進行內部稽核，以本校現行發</w:t>
      </w:r>
      <w:r w:rsidR="00177871">
        <w:rPr>
          <w:rFonts w:ascii="標楷體" w:hAnsi="標楷體" w:hint="eastAsia"/>
          <w:sz w:val="28"/>
          <w:szCs w:val="28"/>
        </w:rPr>
        <w:t>展</w:t>
      </w:r>
      <w:r w:rsidRPr="007C3D27">
        <w:rPr>
          <w:rFonts w:ascii="標楷體" w:hAnsi="標楷體" w:hint="eastAsia"/>
          <w:sz w:val="28"/>
          <w:szCs w:val="28"/>
        </w:rPr>
        <w:t>訂定之政策，衡量其作業程序之有效性及遵循程度，稽核重點</w:t>
      </w:r>
      <w:r w:rsidR="00177871">
        <w:rPr>
          <w:rFonts w:ascii="標楷體" w:hAnsi="標楷體" w:hint="eastAsia"/>
          <w:sz w:val="28"/>
          <w:szCs w:val="28"/>
        </w:rPr>
        <w:t>除前項所述外，</w:t>
      </w:r>
      <w:r w:rsidR="003207B2">
        <w:rPr>
          <w:rFonts w:ascii="標楷體" w:hAnsi="標楷體" w:hint="eastAsia"/>
          <w:sz w:val="28"/>
          <w:szCs w:val="28"/>
        </w:rPr>
        <w:t>說明</w:t>
      </w:r>
      <w:r w:rsidRPr="007C3D27">
        <w:rPr>
          <w:rFonts w:ascii="標楷體" w:hAnsi="標楷體" w:hint="eastAsia"/>
          <w:sz w:val="28"/>
          <w:szCs w:val="28"/>
        </w:rPr>
        <w:t>如下:</w:t>
      </w:r>
    </w:p>
    <w:p w:rsidR="00D5278C" w:rsidRPr="00CE31BC" w:rsidRDefault="00D5278C" w:rsidP="00EA2680">
      <w:pPr>
        <w:pStyle w:val="a3"/>
        <w:numPr>
          <w:ilvl w:val="0"/>
          <w:numId w:val="2"/>
        </w:numPr>
        <w:spacing w:line="440" w:lineRule="exact"/>
        <w:ind w:leftChars="0" w:left="1344" w:hanging="635"/>
        <w:jc w:val="both"/>
        <w:rPr>
          <w:rFonts w:ascii="標楷體" w:hAnsi="標楷體"/>
          <w:b/>
          <w:color w:val="000000" w:themeColor="text1"/>
          <w:sz w:val="28"/>
          <w:szCs w:val="28"/>
        </w:rPr>
      </w:pPr>
      <w:r w:rsidRPr="00CE31BC">
        <w:rPr>
          <w:rFonts w:ascii="標楷體" w:hAnsi="標楷體" w:hint="eastAsia"/>
          <w:color w:val="000000" w:themeColor="text1"/>
          <w:sz w:val="28"/>
          <w:szCs w:val="28"/>
        </w:rPr>
        <w:t>法令及規章之遵循性。</w:t>
      </w:r>
    </w:p>
    <w:p w:rsidR="00D5278C" w:rsidRPr="00CE31BC" w:rsidRDefault="00D5278C" w:rsidP="00EA2680">
      <w:pPr>
        <w:pStyle w:val="a3"/>
        <w:numPr>
          <w:ilvl w:val="0"/>
          <w:numId w:val="2"/>
        </w:numPr>
        <w:spacing w:line="440" w:lineRule="exact"/>
        <w:ind w:leftChars="0" w:left="1344" w:hanging="635"/>
        <w:jc w:val="both"/>
        <w:rPr>
          <w:rFonts w:ascii="標楷體" w:hAnsi="標楷體"/>
          <w:b/>
          <w:color w:val="000000" w:themeColor="text1"/>
          <w:sz w:val="28"/>
          <w:szCs w:val="28"/>
        </w:rPr>
      </w:pPr>
      <w:r w:rsidRPr="00CE31BC">
        <w:rPr>
          <w:rFonts w:ascii="標楷體" w:hAnsi="標楷體" w:hint="eastAsia"/>
          <w:color w:val="000000" w:themeColor="text1"/>
          <w:sz w:val="28"/>
          <w:szCs w:val="28"/>
        </w:rPr>
        <w:t>程序或流程之邏輯性。</w:t>
      </w:r>
    </w:p>
    <w:p w:rsidR="0075002B" w:rsidRPr="00CE31BC" w:rsidRDefault="00D5278C" w:rsidP="00EA2680">
      <w:pPr>
        <w:pStyle w:val="a3"/>
        <w:numPr>
          <w:ilvl w:val="0"/>
          <w:numId w:val="2"/>
        </w:numPr>
        <w:spacing w:line="440" w:lineRule="exact"/>
        <w:ind w:leftChars="0" w:left="1344" w:hanging="635"/>
        <w:jc w:val="both"/>
        <w:rPr>
          <w:rFonts w:ascii="標楷體" w:hAnsi="標楷體"/>
          <w:b/>
          <w:color w:val="000000" w:themeColor="text1"/>
          <w:sz w:val="28"/>
          <w:szCs w:val="28"/>
        </w:rPr>
      </w:pPr>
      <w:r w:rsidRPr="00CE31BC">
        <w:rPr>
          <w:rFonts w:ascii="標楷體" w:hAnsi="標楷體" w:hint="eastAsia"/>
          <w:color w:val="000000" w:themeColor="text1"/>
          <w:sz w:val="28"/>
          <w:szCs w:val="28"/>
        </w:rPr>
        <w:t>業務及作業執行之落實性</w:t>
      </w:r>
      <w:r w:rsidR="0075002B" w:rsidRPr="00CE31BC">
        <w:rPr>
          <w:rFonts w:ascii="標楷體" w:hAnsi="標楷體" w:hint="eastAsia"/>
          <w:color w:val="000000" w:themeColor="text1"/>
          <w:sz w:val="28"/>
          <w:szCs w:val="28"/>
        </w:rPr>
        <w:t>。</w:t>
      </w:r>
    </w:p>
    <w:p w:rsidR="00D5278C" w:rsidRPr="00A571B0" w:rsidRDefault="0075002B" w:rsidP="00EA2680">
      <w:pPr>
        <w:pStyle w:val="a3"/>
        <w:numPr>
          <w:ilvl w:val="0"/>
          <w:numId w:val="2"/>
        </w:numPr>
        <w:spacing w:line="440" w:lineRule="exact"/>
        <w:ind w:leftChars="0" w:left="1344" w:hanging="635"/>
        <w:jc w:val="both"/>
        <w:rPr>
          <w:rFonts w:ascii="標楷體" w:hAnsi="標楷體"/>
          <w:b/>
          <w:color w:val="FF0000"/>
          <w:sz w:val="28"/>
          <w:szCs w:val="28"/>
        </w:rPr>
      </w:pPr>
      <w:r w:rsidRPr="00CE31BC">
        <w:rPr>
          <w:rFonts w:ascii="標楷體" w:hAnsi="標楷體" w:hint="eastAsia"/>
          <w:color w:val="000000" w:themeColor="text1"/>
          <w:sz w:val="28"/>
          <w:szCs w:val="28"/>
        </w:rPr>
        <w:t>達成</w:t>
      </w:r>
      <w:r w:rsidRPr="009579EA">
        <w:rPr>
          <w:rFonts w:ascii="標楷體" w:hAnsi="標楷體" w:hint="eastAsia"/>
          <w:b/>
          <w:color w:val="000000" w:themeColor="text1"/>
          <w:sz w:val="28"/>
          <w:szCs w:val="28"/>
        </w:rPr>
        <w:t>關鍵策略目標</w:t>
      </w:r>
      <w:r w:rsidRPr="00CE31BC">
        <w:rPr>
          <w:rFonts w:ascii="標楷體" w:hAnsi="標楷體" w:hint="eastAsia"/>
          <w:color w:val="000000" w:themeColor="text1"/>
          <w:sz w:val="28"/>
          <w:szCs w:val="28"/>
        </w:rPr>
        <w:t>及其</w:t>
      </w:r>
      <w:r w:rsidRPr="009579EA">
        <w:rPr>
          <w:rFonts w:ascii="標楷體" w:hAnsi="標楷體" w:hint="eastAsia"/>
          <w:b/>
          <w:color w:val="000000" w:themeColor="text1"/>
          <w:sz w:val="28"/>
          <w:szCs w:val="28"/>
        </w:rPr>
        <w:t>關鍵績效指標</w:t>
      </w:r>
      <w:r w:rsidRPr="00CE31BC">
        <w:rPr>
          <w:rFonts w:ascii="標楷體" w:hAnsi="標楷體" w:hint="eastAsia"/>
          <w:color w:val="000000" w:themeColor="text1"/>
          <w:sz w:val="28"/>
          <w:szCs w:val="28"/>
        </w:rPr>
        <w:t>，</w:t>
      </w:r>
      <w:r w:rsidR="00D5278C" w:rsidRPr="00CE31BC">
        <w:rPr>
          <w:rFonts w:ascii="標楷體" w:hAnsi="標楷體" w:hint="eastAsia"/>
          <w:color w:val="000000" w:themeColor="text1"/>
          <w:sz w:val="28"/>
          <w:szCs w:val="28"/>
        </w:rPr>
        <w:t>預期量化或非量化</w:t>
      </w:r>
      <w:r w:rsidRPr="00CE31BC">
        <w:rPr>
          <w:rFonts w:ascii="標楷體" w:hAnsi="標楷體" w:hint="eastAsia"/>
          <w:color w:val="000000" w:themeColor="text1"/>
          <w:sz w:val="28"/>
          <w:szCs w:val="28"/>
        </w:rPr>
        <w:t>績效</w:t>
      </w:r>
      <w:r w:rsidR="00D5278C" w:rsidRPr="00CE31BC">
        <w:rPr>
          <w:rFonts w:ascii="標楷體" w:hAnsi="標楷體" w:hint="eastAsia"/>
          <w:color w:val="000000" w:themeColor="text1"/>
          <w:sz w:val="28"/>
          <w:szCs w:val="28"/>
        </w:rPr>
        <w:t>目標。</w:t>
      </w:r>
      <w:r w:rsidR="00CE31BC">
        <w:rPr>
          <w:rFonts w:ascii="標楷體" w:hAnsi="標楷體" w:hint="eastAsia"/>
          <w:color w:val="FF0000"/>
          <w:sz w:val="28"/>
          <w:szCs w:val="28"/>
        </w:rPr>
        <w:t>(配合本校中程校務發展及104學年度工作計畫書)</w:t>
      </w:r>
    </w:p>
    <w:p w:rsidR="00D5278C" w:rsidRPr="00CE31BC" w:rsidRDefault="00D5278C" w:rsidP="00EA2680">
      <w:pPr>
        <w:pStyle w:val="a3"/>
        <w:numPr>
          <w:ilvl w:val="0"/>
          <w:numId w:val="2"/>
        </w:numPr>
        <w:spacing w:line="440" w:lineRule="exact"/>
        <w:ind w:leftChars="0" w:left="1344" w:hanging="635"/>
        <w:jc w:val="both"/>
        <w:rPr>
          <w:rFonts w:ascii="標楷體" w:hAnsi="標楷體"/>
          <w:b/>
          <w:color w:val="000000" w:themeColor="text1"/>
          <w:sz w:val="28"/>
          <w:szCs w:val="28"/>
        </w:rPr>
      </w:pPr>
      <w:r w:rsidRPr="00CE31BC">
        <w:rPr>
          <w:rFonts w:ascii="標楷體" w:hAnsi="標楷體" w:hint="eastAsia"/>
          <w:color w:val="000000" w:themeColor="text1"/>
          <w:sz w:val="28"/>
          <w:szCs w:val="28"/>
        </w:rPr>
        <w:t>資源使用之效率性。</w:t>
      </w:r>
    </w:p>
    <w:p w:rsidR="00D5278C" w:rsidRPr="00CE31BC" w:rsidRDefault="00D5278C" w:rsidP="00EA2680">
      <w:pPr>
        <w:pStyle w:val="a3"/>
        <w:numPr>
          <w:ilvl w:val="0"/>
          <w:numId w:val="2"/>
        </w:numPr>
        <w:spacing w:line="440" w:lineRule="exact"/>
        <w:ind w:leftChars="0" w:left="1344" w:hanging="635"/>
        <w:jc w:val="both"/>
        <w:rPr>
          <w:rFonts w:ascii="標楷體" w:hAnsi="標楷體"/>
          <w:b/>
          <w:color w:val="000000" w:themeColor="text1"/>
          <w:sz w:val="28"/>
          <w:szCs w:val="28"/>
        </w:rPr>
      </w:pPr>
      <w:r w:rsidRPr="00CE31BC">
        <w:rPr>
          <w:rFonts w:ascii="標楷體" w:hAnsi="標楷體" w:hint="eastAsia"/>
          <w:color w:val="000000" w:themeColor="text1"/>
          <w:sz w:val="28"/>
          <w:szCs w:val="28"/>
        </w:rPr>
        <w:t>記錄(表單)之完整性或確實性。</w:t>
      </w:r>
    </w:p>
    <w:p w:rsidR="00EA2680" w:rsidRPr="001A3C7E" w:rsidRDefault="00EA2680" w:rsidP="00EA2680">
      <w:pPr>
        <w:pStyle w:val="a3"/>
        <w:spacing w:line="440" w:lineRule="exact"/>
        <w:ind w:leftChars="0" w:left="1624"/>
        <w:jc w:val="both"/>
        <w:rPr>
          <w:rFonts w:ascii="標楷體" w:hAnsi="標楷體"/>
          <w:b/>
          <w:sz w:val="28"/>
          <w:szCs w:val="28"/>
        </w:rPr>
      </w:pPr>
    </w:p>
    <w:p w:rsidR="00D5278C" w:rsidRPr="00417F72" w:rsidRDefault="00D5278C" w:rsidP="00EA2680">
      <w:pPr>
        <w:spacing w:line="440" w:lineRule="exact"/>
        <w:jc w:val="both"/>
        <w:rPr>
          <w:rFonts w:ascii="標楷體" w:hAnsi="標楷體"/>
          <w:b/>
          <w:sz w:val="28"/>
          <w:szCs w:val="28"/>
        </w:rPr>
      </w:pPr>
      <w:r>
        <w:rPr>
          <w:rFonts w:ascii="標楷體" w:hAnsi="標楷體" w:hint="eastAsia"/>
          <w:b/>
          <w:sz w:val="28"/>
          <w:szCs w:val="28"/>
        </w:rPr>
        <w:t>參、</w:t>
      </w:r>
      <w:r w:rsidRPr="00417F72">
        <w:rPr>
          <w:rFonts w:ascii="標楷體" w:hAnsi="標楷體" w:hint="eastAsia"/>
          <w:b/>
          <w:sz w:val="28"/>
          <w:szCs w:val="28"/>
        </w:rPr>
        <w:t>稽核範圍</w:t>
      </w:r>
      <w:r w:rsidR="0075002B">
        <w:rPr>
          <w:rFonts w:ascii="標楷體" w:hAnsi="標楷體" w:hint="eastAsia"/>
          <w:b/>
          <w:sz w:val="28"/>
          <w:szCs w:val="28"/>
        </w:rPr>
        <w:t>及稽核期間</w:t>
      </w:r>
    </w:p>
    <w:p w:rsidR="00D5278C" w:rsidRPr="00DD089D" w:rsidRDefault="00D5278C" w:rsidP="00EA2680">
      <w:pPr>
        <w:spacing w:line="440" w:lineRule="exact"/>
        <w:ind w:leftChars="236" w:left="602" w:hangingChars="13" w:hanging="36"/>
        <w:jc w:val="both"/>
        <w:rPr>
          <w:rFonts w:ascii="標楷體" w:hAnsi="標楷體"/>
          <w:sz w:val="28"/>
          <w:szCs w:val="28"/>
        </w:rPr>
      </w:pPr>
      <w:r w:rsidRPr="00DD089D">
        <w:rPr>
          <w:rFonts w:ascii="標楷體" w:hAnsi="標楷體" w:hint="eastAsia"/>
          <w:sz w:val="28"/>
          <w:szCs w:val="28"/>
        </w:rPr>
        <w:t>由本校內部控制專案小組決定年度稽核</w:t>
      </w:r>
      <w:r>
        <w:rPr>
          <w:rFonts w:ascii="標楷體" w:hAnsi="標楷體" w:hint="eastAsia"/>
          <w:sz w:val="28"/>
          <w:szCs w:val="28"/>
        </w:rPr>
        <w:t>或專案稽核</w:t>
      </w:r>
      <w:r w:rsidRPr="00DD089D">
        <w:rPr>
          <w:rFonts w:ascii="標楷體" w:hAnsi="標楷體" w:hint="eastAsia"/>
          <w:sz w:val="28"/>
          <w:szCs w:val="28"/>
        </w:rPr>
        <w:t>範圍，並可指定相關人員</w:t>
      </w:r>
      <w:r>
        <w:rPr>
          <w:rFonts w:ascii="標楷體" w:hAnsi="標楷體" w:hint="eastAsia"/>
          <w:sz w:val="28"/>
          <w:szCs w:val="28"/>
        </w:rPr>
        <w:t>或召集專業教師或人士</w:t>
      </w:r>
      <w:r w:rsidRPr="00DD089D">
        <w:rPr>
          <w:rFonts w:ascii="標楷體" w:hAnsi="標楷體" w:hint="eastAsia"/>
          <w:sz w:val="28"/>
          <w:szCs w:val="28"/>
        </w:rPr>
        <w:t>協助辦理稽核工作。</w:t>
      </w:r>
      <w:r>
        <w:rPr>
          <w:rFonts w:ascii="標楷體" w:hAnsi="標楷體" w:hint="eastAsia"/>
          <w:sz w:val="28"/>
          <w:szCs w:val="28"/>
        </w:rPr>
        <w:t>必要時，得由內部控制幕僚單位(秘書室)簽請前開小組召集人同意，進行專案稽核。</w:t>
      </w:r>
      <w:r w:rsidR="0075002B">
        <w:rPr>
          <w:rFonts w:ascii="標楷體" w:hAnsi="標楷體" w:hint="eastAsia"/>
          <w:sz w:val="28"/>
          <w:szCs w:val="28"/>
        </w:rPr>
        <w:t>稽核期間自104年1月至10</w:t>
      </w:r>
      <w:r w:rsidR="00CE31BC">
        <w:rPr>
          <w:rFonts w:ascii="標楷體" w:hAnsi="標楷體" w:hint="eastAsia"/>
          <w:sz w:val="28"/>
          <w:szCs w:val="28"/>
        </w:rPr>
        <w:t>5</w:t>
      </w:r>
      <w:r w:rsidR="0075002B">
        <w:rPr>
          <w:rFonts w:ascii="標楷體" w:hAnsi="標楷體" w:hint="eastAsia"/>
          <w:sz w:val="28"/>
          <w:szCs w:val="28"/>
        </w:rPr>
        <w:t>年</w:t>
      </w:r>
      <w:r w:rsidR="00341A35">
        <w:rPr>
          <w:rFonts w:ascii="標楷體" w:hAnsi="標楷體" w:hint="eastAsia"/>
          <w:sz w:val="28"/>
          <w:szCs w:val="28"/>
        </w:rPr>
        <w:t>12</w:t>
      </w:r>
      <w:r w:rsidR="0075002B">
        <w:rPr>
          <w:rFonts w:ascii="標楷體" w:hAnsi="標楷體" w:hint="eastAsia"/>
          <w:sz w:val="28"/>
          <w:szCs w:val="28"/>
        </w:rPr>
        <w:t>月。</w:t>
      </w:r>
    </w:p>
    <w:p w:rsidR="00D5278C" w:rsidRPr="00DD089D" w:rsidRDefault="00D5278C" w:rsidP="00EA2680">
      <w:pPr>
        <w:spacing w:line="440" w:lineRule="exact"/>
        <w:ind w:leftChars="-199" w:left="604" w:hangingChars="386" w:hanging="1082"/>
        <w:jc w:val="both"/>
        <w:rPr>
          <w:rFonts w:ascii="標楷體" w:hAnsi="標楷體"/>
          <w:b/>
          <w:sz w:val="28"/>
          <w:szCs w:val="28"/>
        </w:rPr>
      </w:pPr>
    </w:p>
    <w:p w:rsidR="00D5278C" w:rsidRPr="0000797F" w:rsidRDefault="00D5278C" w:rsidP="00EA2680">
      <w:pPr>
        <w:spacing w:line="440" w:lineRule="exact"/>
        <w:jc w:val="both"/>
        <w:rPr>
          <w:rFonts w:ascii="標楷體" w:hAnsi="標楷體"/>
          <w:b/>
          <w:sz w:val="28"/>
          <w:szCs w:val="28"/>
        </w:rPr>
      </w:pPr>
      <w:r w:rsidRPr="0000797F">
        <w:rPr>
          <w:rFonts w:ascii="標楷體" w:hAnsi="標楷體" w:hint="eastAsia"/>
          <w:b/>
          <w:sz w:val="28"/>
          <w:szCs w:val="28"/>
        </w:rPr>
        <w:t>肆、</w:t>
      </w:r>
      <w:r w:rsidR="000649AB">
        <w:rPr>
          <w:rFonts w:ascii="標楷體" w:hAnsi="標楷體" w:hint="eastAsia"/>
          <w:b/>
          <w:sz w:val="28"/>
          <w:szCs w:val="28"/>
        </w:rPr>
        <w:t>本校</w:t>
      </w:r>
      <w:r w:rsidRPr="0000797F">
        <w:rPr>
          <w:rFonts w:ascii="標楷體" w:hAnsi="標楷體" w:hint="eastAsia"/>
          <w:b/>
          <w:sz w:val="28"/>
          <w:szCs w:val="28"/>
        </w:rPr>
        <w:t>稽核項目及期程</w:t>
      </w:r>
    </w:p>
    <w:p w:rsidR="00D5278C" w:rsidRPr="0000797F" w:rsidRDefault="00D5278C" w:rsidP="00EA2680">
      <w:pPr>
        <w:spacing w:line="440" w:lineRule="exact"/>
        <w:ind w:leftChars="250" w:left="600"/>
        <w:jc w:val="both"/>
        <w:rPr>
          <w:rFonts w:ascii="標楷體" w:hAnsi="標楷體"/>
          <w:sz w:val="28"/>
          <w:szCs w:val="28"/>
        </w:rPr>
      </w:pPr>
      <w:r>
        <w:rPr>
          <w:rFonts w:ascii="標楷體" w:hAnsi="標楷體" w:hint="eastAsia"/>
          <w:sz w:val="28"/>
          <w:szCs w:val="28"/>
        </w:rPr>
        <w:t>依本校內部控制專案小組會議決議稽核項目及期程，本年度</w:t>
      </w:r>
      <w:r w:rsidRPr="0000797F">
        <w:rPr>
          <w:rFonts w:ascii="標楷體" w:hAnsi="標楷體" w:hint="eastAsia"/>
          <w:sz w:val="28"/>
          <w:szCs w:val="28"/>
        </w:rPr>
        <w:t>預計辦理</w:t>
      </w:r>
      <w:r>
        <w:rPr>
          <w:rFonts w:ascii="標楷體" w:hAnsi="標楷體" w:hint="eastAsia"/>
          <w:sz w:val="28"/>
          <w:szCs w:val="28"/>
        </w:rPr>
        <w:t>情形詳如稽核計畫表</w:t>
      </w:r>
      <w:r w:rsidRPr="004910D7">
        <w:rPr>
          <w:rFonts w:ascii="標楷體" w:hAnsi="標楷體" w:hint="eastAsia"/>
          <w:sz w:val="28"/>
          <w:szCs w:val="28"/>
        </w:rPr>
        <w:t>(附件一)</w:t>
      </w:r>
      <w:r>
        <w:rPr>
          <w:rFonts w:ascii="標楷體" w:hAnsi="標楷體" w:hint="eastAsia"/>
          <w:sz w:val="28"/>
          <w:szCs w:val="28"/>
        </w:rPr>
        <w:t>。</w:t>
      </w:r>
    </w:p>
    <w:p w:rsidR="00D5278C" w:rsidRDefault="00D5278C" w:rsidP="00EA2680">
      <w:pPr>
        <w:spacing w:line="440" w:lineRule="exact"/>
        <w:jc w:val="both"/>
        <w:rPr>
          <w:rFonts w:ascii="標楷體" w:hAnsi="標楷體"/>
          <w:b/>
          <w:sz w:val="28"/>
          <w:szCs w:val="28"/>
        </w:rPr>
      </w:pPr>
    </w:p>
    <w:p w:rsidR="00D5278C" w:rsidRPr="0000797F" w:rsidRDefault="00D5278C" w:rsidP="00EA2680">
      <w:pPr>
        <w:spacing w:line="440" w:lineRule="exact"/>
        <w:jc w:val="both"/>
        <w:rPr>
          <w:rFonts w:ascii="標楷體" w:hAnsi="標楷體"/>
          <w:b/>
          <w:sz w:val="28"/>
          <w:szCs w:val="28"/>
        </w:rPr>
      </w:pPr>
      <w:r w:rsidRPr="0000797F">
        <w:rPr>
          <w:rFonts w:ascii="標楷體" w:hAnsi="標楷體" w:hint="eastAsia"/>
          <w:b/>
          <w:sz w:val="28"/>
          <w:szCs w:val="28"/>
        </w:rPr>
        <w:t>伍、稽核工作分派</w:t>
      </w:r>
    </w:p>
    <w:p w:rsidR="00D5278C" w:rsidRDefault="00D5278C" w:rsidP="00EA2680">
      <w:pPr>
        <w:spacing w:line="440" w:lineRule="exact"/>
        <w:ind w:leftChars="250" w:left="600"/>
        <w:jc w:val="both"/>
        <w:rPr>
          <w:rFonts w:ascii="標楷體" w:hAnsi="標楷體"/>
          <w:sz w:val="28"/>
          <w:szCs w:val="28"/>
        </w:rPr>
      </w:pPr>
      <w:r>
        <w:rPr>
          <w:rFonts w:ascii="標楷體" w:hAnsi="標楷體" w:hint="eastAsia"/>
          <w:sz w:val="28"/>
          <w:szCs w:val="28"/>
        </w:rPr>
        <w:t>本校採任務編組方式，針對每個單位受</w:t>
      </w:r>
      <w:r w:rsidRPr="0000797F">
        <w:rPr>
          <w:rFonts w:ascii="標楷體" w:hAnsi="標楷體" w:hint="eastAsia"/>
          <w:sz w:val="28"/>
          <w:szCs w:val="28"/>
        </w:rPr>
        <w:t>稽核項目邀集相關行政人員、專業人員或具專業知能教師進行稽核，</w:t>
      </w:r>
      <w:r>
        <w:rPr>
          <w:rFonts w:ascii="標楷體" w:hAnsi="標楷體" w:hint="eastAsia"/>
          <w:sz w:val="28"/>
          <w:szCs w:val="28"/>
        </w:rPr>
        <w:t>每次稽核由分組之稽核成員中推派1人擔任連絡人，依據規定召開會前會決議稽核方式、抽核比率及其他相關稽核文件，</w:t>
      </w:r>
      <w:r w:rsidRPr="0000797F">
        <w:rPr>
          <w:rFonts w:ascii="標楷體" w:hAnsi="標楷體" w:hint="eastAsia"/>
          <w:sz w:val="28"/>
          <w:szCs w:val="28"/>
        </w:rPr>
        <w:t>並</w:t>
      </w:r>
      <w:r>
        <w:rPr>
          <w:rFonts w:ascii="標楷體" w:hAnsi="標楷體" w:hint="eastAsia"/>
          <w:sz w:val="28"/>
          <w:szCs w:val="28"/>
        </w:rPr>
        <w:t>於稽核後將各委員具體之意見</w:t>
      </w:r>
      <w:r w:rsidRPr="0000797F">
        <w:rPr>
          <w:rFonts w:ascii="標楷體" w:hAnsi="標楷體" w:hint="eastAsia"/>
          <w:sz w:val="28"/>
          <w:szCs w:val="28"/>
        </w:rPr>
        <w:t>作成稽核記錄</w:t>
      </w:r>
      <w:r>
        <w:rPr>
          <w:rFonts w:ascii="標楷體" w:hAnsi="標楷體" w:hint="eastAsia"/>
          <w:sz w:val="28"/>
          <w:szCs w:val="28"/>
        </w:rPr>
        <w:t>表(附件二)</w:t>
      </w:r>
      <w:r w:rsidRPr="0000797F">
        <w:rPr>
          <w:rFonts w:ascii="標楷體" w:hAnsi="標楷體" w:hint="eastAsia"/>
          <w:sz w:val="28"/>
          <w:szCs w:val="28"/>
        </w:rPr>
        <w:t>、稽</w:t>
      </w:r>
      <w:r>
        <w:rPr>
          <w:rFonts w:ascii="標楷體" w:hAnsi="標楷體" w:hint="eastAsia"/>
          <w:sz w:val="28"/>
          <w:szCs w:val="28"/>
        </w:rPr>
        <w:t>核</w:t>
      </w:r>
      <w:r w:rsidRPr="0000797F">
        <w:rPr>
          <w:rFonts w:ascii="標楷體" w:hAnsi="標楷體" w:hint="eastAsia"/>
          <w:sz w:val="28"/>
          <w:szCs w:val="28"/>
        </w:rPr>
        <w:t>報告</w:t>
      </w:r>
      <w:r>
        <w:rPr>
          <w:rFonts w:ascii="標楷體" w:hAnsi="標楷體" w:hint="eastAsia"/>
          <w:sz w:val="28"/>
          <w:szCs w:val="28"/>
        </w:rPr>
        <w:t>(附件三)、稽核結果表(附件三之一)、</w:t>
      </w:r>
      <w:r w:rsidRPr="0000797F">
        <w:rPr>
          <w:rFonts w:ascii="標楷體" w:hAnsi="標楷體" w:hint="eastAsia"/>
          <w:sz w:val="28"/>
          <w:szCs w:val="28"/>
        </w:rPr>
        <w:t>內部控制缺失事項追蹤</w:t>
      </w:r>
      <w:r>
        <w:rPr>
          <w:rFonts w:ascii="標楷體" w:hAnsi="標楷體" w:hint="eastAsia"/>
          <w:sz w:val="28"/>
          <w:szCs w:val="28"/>
        </w:rPr>
        <w:t>改善</w:t>
      </w:r>
      <w:r w:rsidRPr="0000797F">
        <w:rPr>
          <w:rFonts w:ascii="標楷體" w:hAnsi="標楷體" w:hint="eastAsia"/>
          <w:sz w:val="28"/>
          <w:szCs w:val="28"/>
        </w:rPr>
        <w:t>表</w:t>
      </w:r>
      <w:r>
        <w:rPr>
          <w:rFonts w:ascii="標楷體" w:hAnsi="標楷體" w:hint="eastAsia"/>
          <w:sz w:val="28"/>
          <w:szCs w:val="28"/>
        </w:rPr>
        <w:t>(附件四)及具體興革建議追蹤情形表(附件五)，</w:t>
      </w:r>
      <w:r w:rsidRPr="0000797F">
        <w:rPr>
          <w:rFonts w:ascii="標楷體" w:hAnsi="標楷體" w:hint="eastAsia"/>
          <w:sz w:val="28"/>
          <w:szCs w:val="28"/>
        </w:rPr>
        <w:t>送秘書室</w:t>
      </w:r>
      <w:r>
        <w:rPr>
          <w:rFonts w:ascii="標楷體" w:hAnsi="標楷體" w:hint="eastAsia"/>
          <w:sz w:val="28"/>
          <w:szCs w:val="28"/>
        </w:rPr>
        <w:t>彙整</w:t>
      </w:r>
      <w:r w:rsidRPr="0000797F">
        <w:rPr>
          <w:rFonts w:ascii="標楷體" w:hAnsi="標楷體" w:hint="eastAsia"/>
          <w:sz w:val="28"/>
          <w:szCs w:val="28"/>
        </w:rPr>
        <w:t>提內控小組會議討論或報告，</w:t>
      </w:r>
      <w:r>
        <w:rPr>
          <w:rFonts w:ascii="標楷體" w:hAnsi="標楷體" w:hint="eastAsia"/>
          <w:sz w:val="28"/>
          <w:szCs w:val="28"/>
        </w:rPr>
        <w:t>及依規定</w:t>
      </w:r>
      <w:r w:rsidRPr="0000797F">
        <w:rPr>
          <w:rFonts w:ascii="標楷體" w:hAnsi="標楷體" w:hint="eastAsia"/>
          <w:sz w:val="28"/>
          <w:szCs w:val="28"/>
        </w:rPr>
        <w:t>造冊</w:t>
      </w:r>
      <w:r>
        <w:rPr>
          <w:rFonts w:ascii="標楷體" w:hAnsi="標楷體" w:hint="eastAsia"/>
          <w:sz w:val="28"/>
          <w:szCs w:val="28"/>
        </w:rPr>
        <w:t>保存</w:t>
      </w:r>
      <w:r w:rsidRPr="0000797F">
        <w:rPr>
          <w:rFonts w:ascii="標楷體" w:hAnsi="標楷體" w:hint="eastAsia"/>
          <w:sz w:val="28"/>
          <w:szCs w:val="28"/>
        </w:rPr>
        <w:t>。</w:t>
      </w:r>
    </w:p>
    <w:p w:rsidR="00D5278C" w:rsidRDefault="00D5278C" w:rsidP="00EA2680">
      <w:pPr>
        <w:spacing w:line="440" w:lineRule="exact"/>
        <w:ind w:left="599" w:hangingChars="214" w:hanging="599"/>
        <w:jc w:val="both"/>
        <w:rPr>
          <w:rFonts w:ascii="標楷體" w:hAnsi="標楷體"/>
          <w:sz w:val="28"/>
          <w:szCs w:val="28"/>
        </w:rPr>
      </w:pPr>
    </w:p>
    <w:p w:rsidR="00D5278C" w:rsidRPr="00A30105" w:rsidRDefault="00D5278C" w:rsidP="00EA2680">
      <w:pPr>
        <w:spacing w:line="440" w:lineRule="exact"/>
        <w:ind w:left="600" w:hangingChars="214" w:hanging="600"/>
        <w:jc w:val="both"/>
        <w:rPr>
          <w:rFonts w:ascii="標楷體" w:hAnsi="標楷體"/>
          <w:b/>
          <w:sz w:val="28"/>
          <w:szCs w:val="28"/>
        </w:rPr>
      </w:pPr>
      <w:r w:rsidRPr="00A30105">
        <w:rPr>
          <w:rFonts w:ascii="標楷體" w:hAnsi="標楷體" w:hint="eastAsia"/>
          <w:b/>
          <w:sz w:val="28"/>
          <w:szCs w:val="28"/>
        </w:rPr>
        <w:t>陸、</w:t>
      </w:r>
      <w:r w:rsidR="0075002B">
        <w:rPr>
          <w:rFonts w:ascii="標楷體" w:hAnsi="標楷體" w:hint="eastAsia"/>
          <w:b/>
          <w:sz w:val="28"/>
          <w:szCs w:val="28"/>
        </w:rPr>
        <w:t>經費來源</w:t>
      </w:r>
    </w:p>
    <w:p w:rsidR="00D5278C" w:rsidRDefault="0075002B" w:rsidP="00EA2680">
      <w:pPr>
        <w:spacing w:line="440" w:lineRule="exact"/>
        <w:ind w:leftChars="236" w:left="616" w:hangingChars="18" w:hanging="50"/>
        <w:jc w:val="both"/>
        <w:rPr>
          <w:rFonts w:ascii="標楷體" w:hAnsi="標楷體"/>
          <w:sz w:val="28"/>
          <w:szCs w:val="28"/>
        </w:rPr>
      </w:pPr>
      <w:r>
        <w:rPr>
          <w:rFonts w:ascii="標楷體" w:hAnsi="標楷體" w:hint="eastAsia"/>
          <w:sz w:val="28"/>
          <w:szCs w:val="28"/>
        </w:rPr>
        <w:t>本項稽核作業所需經費由秘書室項下經費支用。</w:t>
      </w:r>
    </w:p>
    <w:p w:rsidR="00EA2680" w:rsidRPr="00A30105" w:rsidRDefault="00EA2680" w:rsidP="00EA2680">
      <w:pPr>
        <w:spacing w:line="440" w:lineRule="exact"/>
        <w:ind w:leftChars="236" w:left="616" w:hangingChars="18" w:hanging="50"/>
        <w:jc w:val="both"/>
        <w:rPr>
          <w:rFonts w:ascii="標楷體" w:hAnsi="標楷體"/>
          <w:sz w:val="28"/>
          <w:szCs w:val="28"/>
        </w:rPr>
      </w:pPr>
    </w:p>
    <w:p w:rsidR="00515B03" w:rsidRPr="00CE2225" w:rsidRDefault="00D5278C" w:rsidP="00B60CF3">
      <w:pPr>
        <w:spacing w:line="440" w:lineRule="exact"/>
        <w:ind w:left="619" w:hangingChars="221" w:hanging="619"/>
        <w:jc w:val="both"/>
      </w:pPr>
      <w:r>
        <w:rPr>
          <w:rFonts w:ascii="標楷體" w:hAnsi="標楷體" w:hint="eastAsia"/>
          <w:b/>
          <w:sz w:val="28"/>
          <w:szCs w:val="28"/>
        </w:rPr>
        <w:t>柒</w:t>
      </w:r>
      <w:r w:rsidRPr="0000797F">
        <w:rPr>
          <w:rFonts w:ascii="標楷體" w:hAnsi="標楷體" w:hint="eastAsia"/>
          <w:b/>
          <w:spacing w:val="-34"/>
          <w:sz w:val="28"/>
          <w:szCs w:val="28"/>
        </w:rPr>
        <w:t>、</w:t>
      </w:r>
      <w:r w:rsidRPr="0000797F">
        <w:rPr>
          <w:rFonts w:ascii="標楷體" w:hAnsi="標楷體"/>
          <w:b/>
          <w:spacing w:val="-34"/>
          <w:sz w:val="28"/>
          <w:szCs w:val="28"/>
        </w:rPr>
        <w:t xml:space="preserve"> </w:t>
      </w:r>
      <w:r w:rsidRPr="0000797F">
        <w:rPr>
          <w:rFonts w:ascii="標楷體" w:hAnsi="標楷體" w:hint="eastAsia"/>
          <w:b/>
          <w:sz w:val="28"/>
          <w:szCs w:val="28"/>
        </w:rPr>
        <w:t>本計畫經本校內部控制專案小組會議審議通過，陳請校長核定後實施</w:t>
      </w:r>
      <w:r w:rsidRPr="0000797F">
        <w:rPr>
          <w:rFonts w:ascii="標楷體" w:hAnsi="標楷體" w:hint="eastAsia"/>
          <w:sz w:val="28"/>
          <w:szCs w:val="28"/>
        </w:rPr>
        <w:t>。</w:t>
      </w:r>
      <w:bookmarkStart w:id="0" w:name="_GoBack"/>
      <w:bookmarkEnd w:id="0"/>
    </w:p>
    <w:sectPr w:rsidR="00515B03" w:rsidRPr="00CE2225" w:rsidSect="00B60CF3">
      <w:footerReference w:type="even" r:id="rId8"/>
      <w:footerReference w:type="default" r:id="rId9"/>
      <w:pgSz w:w="11906" w:h="16838" w:code="9"/>
      <w:pgMar w:top="1134" w:right="1106" w:bottom="719" w:left="960" w:header="851" w:footer="44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5F" w:rsidRDefault="00A54D5F">
      <w:r>
        <w:separator/>
      </w:r>
    </w:p>
  </w:endnote>
  <w:endnote w:type="continuationSeparator" w:id="0">
    <w:p w:rsidR="00A54D5F" w:rsidRDefault="00A5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B4" w:rsidRDefault="006F3BB4" w:rsidP="00BD258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3BB4" w:rsidRDefault="006F3B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B4" w:rsidRDefault="006F3BB4" w:rsidP="00BD258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60CF3">
      <w:rPr>
        <w:rStyle w:val="a6"/>
        <w:noProof/>
      </w:rPr>
      <w:t>2</w:t>
    </w:r>
    <w:r>
      <w:rPr>
        <w:rStyle w:val="a6"/>
      </w:rPr>
      <w:fldChar w:fldCharType="end"/>
    </w:r>
  </w:p>
  <w:p w:rsidR="006F3BB4" w:rsidRDefault="006F3B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5F" w:rsidRDefault="00A54D5F">
      <w:r>
        <w:separator/>
      </w:r>
    </w:p>
  </w:footnote>
  <w:footnote w:type="continuationSeparator" w:id="0">
    <w:p w:rsidR="00A54D5F" w:rsidRDefault="00A5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131"/>
    <w:multiLevelType w:val="hybridMultilevel"/>
    <w:tmpl w:val="F7984604"/>
    <w:lvl w:ilvl="0" w:tplc="2A24F4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AD0F9E"/>
    <w:multiLevelType w:val="hybridMultilevel"/>
    <w:tmpl w:val="BA40AFEE"/>
    <w:lvl w:ilvl="0" w:tplc="2A22E3F2">
      <w:start w:val="1"/>
      <w:numFmt w:val="taiwaneseCountingThousand"/>
      <w:lvlText w:val="%1、"/>
      <w:lvlJc w:val="left"/>
      <w:pPr>
        <w:ind w:left="1147" w:hanging="720"/>
      </w:pPr>
      <w:rPr>
        <w:rFonts w:hint="default"/>
      </w:rPr>
    </w:lvl>
    <w:lvl w:ilvl="1" w:tplc="7682C61A">
      <w:start w:val="1"/>
      <w:numFmt w:val="taiwaneseCountingThousand"/>
      <w:lvlText w:val="(%2)"/>
      <w:lvlJc w:val="left"/>
      <w:pPr>
        <w:ind w:left="1387" w:hanging="48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nsid w:val="2A717111"/>
    <w:multiLevelType w:val="hybridMultilevel"/>
    <w:tmpl w:val="D36671FA"/>
    <w:lvl w:ilvl="0" w:tplc="04090015">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30F319CA"/>
    <w:multiLevelType w:val="hybridMultilevel"/>
    <w:tmpl w:val="868633EE"/>
    <w:lvl w:ilvl="0" w:tplc="2A24F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D159F9"/>
    <w:multiLevelType w:val="hybridMultilevel"/>
    <w:tmpl w:val="E3F02DD0"/>
    <w:lvl w:ilvl="0" w:tplc="04090015">
      <w:start w:val="1"/>
      <w:numFmt w:val="taiwaneseCountingThousand"/>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54EA5837"/>
    <w:multiLevelType w:val="hybridMultilevel"/>
    <w:tmpl w:val="75BA0014"/>
    <w:lvl w:ilvl="0" w:tplc="2A24F4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111A1C"/>
    <w:multiLevelType w:val="hybridMultilevel"/>
    <w:tmpl w:val="6EF2AB56"/>
    <w:lvl w:ilvl="0" w:tplc="EBEAFAD4">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6B7774C"/>
    <w:multiLevelType w:val="hybridMultilevel"/>
    <w:tmpl w:val="B77A74A6"/>
    <w:lvl w:ilvl="0" w:tplc="74CC2998">
      <w:start w:val="1"/>
      <w:numFmt w:val="taiwaneseCountingThousand"/>
      <w:lvlText w:val="(%1)"/>
      <w:lvlJc w:val="left"/>
      <w:pPr>
        <w:ind w:left="1471" w:hanging="480"/>
      </w:pPr>
      <w:rPr>
        <w:rFonts w:hint="default"/>
        <w:b w:val="0"/>
        <w:color w:val="000000" w:themeColor="text1"/>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67656A1A"/>
    <w:multiLevelType w:val="hybridMultilevel"/>
    <w:tmpl w:val="25324C82"/>
    <w:lvl w:ilvl="0" w:tplc="808623E6">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2D01AE"/>
    <w:multiLevelType w:val="hybridMultilevel"/>
    <w:tmpl w:val="5784C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2"/>
  </w:num>
  <w:num w:numId="4">
    <w:abstractNumId w:val="4"/>
  </w:num>
  <w:num w:numId="5">
    <w:abstractNumId w:val="1"/>
  </w:num>
  <w:num w:numId="6">
    <w:abstractNumId w:val="9"/>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8C"/>
    <w:rsid w:val="000649AB"/>
    <w:rsid w:val="0009401C"/>
    <w:rsid w:val="000C7DA1"/>
    <w:rsid w:val="000D1AFC"/>
    <w:rsid w:val="00164E78"/>
    <w:rsid w:val="00177871"/>
    <w:rsid w:val="00270A97"/>
    <w:rsid w:val="0029076E"/>
    <w:rsid w:val="002B1E3E"/>
    <w:rsid w:val="002C4209"/>
    <w:rsid w:val="002D05E5"/>
    <w:rsid w:val="003207B2"/>
    <w:rsid w:val="00341A35"/>
    <w:rsid w:val="00373E08"/>
    <w:rsid w:val="00406233"/>
    <w:rsid w:val="00414AEA"/>
    <w:rsid w:val="004A0D94"/>
    <w:rsid w:val="004B6742"/>
    <w:rsid w:val="00515B03"/>
    <w:rsid w:val="00550BA1"/>
    <w:rsid w:val="0055706D"/>
    <w:rsid w:val="00566465"/>
    <w:rsid w:val="005902E2"/>
    <w:rsid w:val="00665F9A"/>
    <w:rsid w:val="00680FED"/>
    <w:rsid w:val="006E1027"/>
    <w:rsid w:val="006F3BB4"/>
    <w:rsid w:val="0075002B"/>
    <w:rsid w:val="00756584"/>
    <w:rsid w:val="00793AB9"/>
    <w:rsid w:val="007A5896"/>
    <w:rsid w:val="007C3D27"/>
    <w:rsid w:val="007C7A52"/>
    <w:rsid w:val="008E3575"/>
    <w:rsid w:val="009579EA"/>
    <w:rsid w:val="00983A66"/>
    <w:rsid w:val="009D3CC0"/>
    <w:rsid w:val="009E763A"/>
    <w:rsid w:val="00A459C4"/>
    <w:rsid w:val="00A54D5F"/>
    <w:rsid w:val="00A571B0"/>
    <w:rsid w:val="00A66DE9"/>
    <w:rsid w:val="00A9018F"/>
    <w:rsid w:val="00B17000"/>
    <w:rsid w:val="00B3377B"/>
    <w:rsid w:val="00B5197E"/>
    <w:rsid w:val="00B60CF3"/>
    <w:rsid w:val="00B770D1"/>
    <w:rsid w:val="00BD2582"/>
    <w:rsid w:val="00C55992"/>
    <w:rsid w:val="00C56DE0"/>
    <w:rsid w:val="00CE2225"/>
    <w:rsid w:val="00CE31BC"/>
    <w:rsid w:val="00CF3281"/>
    <w:rsid w:val="00D5278C"/>
    <w:rsid w:val="00D8508B"/>
    <w:rsid w:val="00E0304C"/>
    <w:rsid w:val="00EA2680"/>
    <w:rsid w:val="00F4308E"/>
    <w:rsid w:val="00F66398"/>
    <w:rsid w:val="00F80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8C"/>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78C"/>
    <w:pPr>
      <w:ind w:leftChars="200" w:left="480"/>
    </w:pPr>
  </w:style>
  <w:style w:type="paragraph" w:styleId="a4">
    <w:name w:val="footer"/>
    <w:basedOn w:val="a"/>
    <w:link w:val="a5"/>
    <w:rsid w:val="00F4308E"/>
    <w:pPr>
      <w:tabs>
        <w:tab w:val="center" w:pos="4153"/>
        <w:tab w:val="right" w:pos="8306"/>
      </w:tabs>
      <w:snapToGrid w:val="0"/>
    </w:pPr>
    <w:rPr>
      <w:rFonts w:eastAsia="新細明體"/>
      <w:sz w:val="20"/>
    </w:rPr>
  </w:style>
  <w:style w:type="character" w:customStyle="1" w:styleId="a5">
    <w:name w:val="頁尾 字元"/>
    <w:basedOn w:val="a0"/>
    <w:link w:val="a4"/>
    <w:rsid w:val="00F4308E"/>
    <w:rPr>
      <w:rFonts w:ascii="Times New Roman" w:eastAsia="新細明體" w:hAnsi="Times New Roman" w:cs="Times New Roman"/>
      <w:sz w:val="20"/>
      <w:szCs w:val="20"/>
    </w:rPr>
  </w:style>
  <w:style w:type="character" w:styleId="a6">
    <w:name w:val="page number"/>
    <w:rsid w:val="00F4308E"/>
    <w:rPr>
      <w:rFonts w:cs="Times New Roman"/>
    </w:rPr>
  </w:style>
  <w:style w:type="paragraph" w:styleId="a7">
    <w:name w:val="Balloon Text"/>
    <w:basedOn w:val="a"/>
    <w:link w:val="a8"/>
    <w:uiPriority w:val="99"/>
    <w:semiHidden/>
    <w:unhideWhenUsed/>
    <w:rsid w:val="00CE22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E2225"/>
    <w:rPr>
      <w:rFonts w:asciiTheme="majorHAnsi" w:eastAsiaTheme="majorEastAsia" w:hAnsiTheme="majorHAnsi" w:cstheme="majorBidi"/>
      <w:sz w:val="18"/>
      <w:szCs w:val="18"/>
    </w:rPr>
  </w:style>
  <w:style w:type="table" w:styleId="a9">
    <w:name w:val="Table Grid"/>
    <w:basedOn w:val="a1"/>
    <w:uiPriority w:val="59"/>
    <w:rsid w:val="00B33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018F"/>
    <w:pPr>
      <w:tabs>
        <w:tab w:val="center" w:pos="4153"/>
        <w:tab w:val="right" w:pos="8306"/>
      </w:tabs>
      <w:snapToGrid w:val="0"/>
    </w:pPr>
    <w:rPr>
      <w:sz w:val="20"/>
    </w:rPr>
  </w:style>
  <w:style w:type="character" w:customStyle="1" w:styleId="ab">
    <w:name w:val="頁首 字元"/>
    <w:basedOn w:val="a0"/>
    <w:link w:val="aa"/>
    <w:uiPriority w:val="99"/>
    <w:rsid w:val="00A9018F"/>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8C"/>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78C"/>
    <w:pPr>
      <w:ind w:leftChars="200" w:left="480"/>
    </w:pPr>
  </w:style>
  <w:style w:type="paragraph" w:styleId="a4">
    <w:name w:val="footer"/>
    <w:basedOn w:val="a"/>
    <w:link w:val="a5"/>
    <w:rsid w:val="00F4308E"/>
    <w:pPr>
      <w:tabs>
        <w:tab w:val="center" w:pos="4153"/>
        <w:tab w:val="right" w:pos="8306"/>
      </w:tabs>
      <w:snapToGrid w:val="0"/>
    </w:pPr>
    <w:rPr>
      <w:rFonts w:eastAsia="新細明體"/>
      <w:sz w:val="20"/>
    </w:rPr>
  </w:style>
  <w:style w:type="character" w:customStyle="1" w:styleId="a5">
    <w:name w:val="頁尾 字元"/>
    <w:basedOn w:val="a0"/>
    <w:link w:val="a4"/>
    <w:rsid w:val="00F4308E"/>
    <w:rPr>
      <w:rFonts w:ascii="Times New Roman" w:eastAsia="新細明體" w:hAnsi="Times New Roman" w:cs="Times New Roman"/>
      <w:sz w:val="20"/>
      <w:szCs w:val="20"/>
    </w:rPr>
  </w:style>
  <w:style w:type="character" w:styleId="a6">
    <w:name w:val="page number"/>
    <w:rsid w:val="00F4308E"/>
    <w:rPr>
      <w:rFonts w:cs="Times New Roman"/>
    </w:rPr>
  </w:style>
  <w:style w:type="paragraph" w:styleId="a7">
    <w:name w:val="Balloon Text"/>
    <w:basedOn w:val="a"/>
    <w:link w:val="a8"/>
    <w:uiPriority w:val="99"/>
    <w:semiHidden/>
    <w:unhideWhenUsed/>
    <w:rsid w:val="00CE22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E2225"/>
    <w:rPr>
      <w:rFonts w:asciiTheme="majorHAnsi" w:eastAsiaTheme="majorEastAsia" w:hAnsiTheme="majorHAnsi" w:cstheme="majorBidi"/>
      <w:sz w:val="18"/>
      <w:szCs w:val="18"/>
    </w:rPr>
  </w:style>
  <w:style w:type="table" w:styleId="a9">
    <w:name w:val="Table Grid"/>
    <w:basedOn w:val="a1"/>
    <w:uiPriority w:val="59"/>
    <w:rsid w:val="00B33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018F"/>
    <w:pPr>
      <w:tabs>
        <w:tab w:val="center" w:pos="4153"/>
        <w:tab w:val="right" w:pos="8306"/>
      </w:tabs>
      <w:snapToGrid w:val="0"/>
    </w:pPr>
    <w:rPr>
      <w:sz w:val="20"/>
    </w:rPr>
  </w:style>
  <w:style w:type="character" w:customStyle="1" w:styleId="ab">
    <w:name w:val="頁首 字元"/>
    <w:basedOn w:val="a0"/>
    <w:link w:val="aa"/>
    <w:uiPriority w:val="99"/>
    <w:rsid w:val="00A9018F"/>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588</Characters>
  <Application>Microsoft Office Word</Application>
  <DocSecurity>0</DocSecurity>
  <Lines>65</Lines>
  <Paragraphs>45</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2016-06-03T07:21:00Z</cp:lastPrinted>
  <dcterms:created xsi:type="dcterms:W3CDTF">2016-10-20T08:08:00Z</dcterms:created>
  <dcterms:modified xsi:type="dcterms:W3CDTF">2016-10-20T08:08:00Z</dcterms:modified>
</cp:coreProperties>
</file>