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E3" w:rsidRDefault="00A0556B" w:rsidP="006E6F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國立嘉義大學</w:t>
      </w:r>
      <w:r w:rsidR="001A4F9F">
        <w:rPr>
          <w:rFonts w:hint="eastAsia"/>
          <w:sz w:val="32"/>
          <w:szCs w:val="32"/>
        </w:rPr>
        <w:t>各單位</w:t>
      </w:r>
      <w:r>
        <w:rPr>
          <w:rFonts w:hint="eastAsia"/>
          <w:sz w:val="32"/>
          <w:szCs w:val="32"/>
        </w:rPr>
        <w:t>內部控制</w:t>
      </w:r>
      <w:r w:rsidR="001A4F9F">
        <w:rPr>
          <w:rFonts w:hint="eastAsia"/>
          <w:sz w:val="32"/>
          <w:szCs w:val="32"/>
        </w:rPr>
        <w:t>制度作業</w:t>
      </w:r>
      <w:r w:rsidR="006E6F47" w:rsidRPr="00A0556B">
        <w:rPr>
          <w:rFonts w:hint="eastAsia"/>
          <w:sz w:val="32"/>
          <w:szCs w:val="32"/>
        </w:rPr>
        <w:t>風險評估及處理表</w:t>
      </w:r>
      <w:r w:rsidR="006E6F47" w:rsidRPr="00A0556B">
        <w:rPr>
          <w:rFonts w:hint="eastAsia"/>
          <w:sz w:val="32"/>
          <w:szCs w:val="32"/>
        </w:rPr>
        <w:t>(</w:t>
      </w:r>
      <w:r w:rsidR="006E6F47" w:rsidRPr="00A0556B">
        <w:rPr>
          <w:rFonts w:hint="eastAsia"/>
          <w:sz w:val="32"/>
          <w:szCs w:val="32"/>
        </w:rPr>
        <w:t>第</w:t>
      </w:r>
      <w:r w:rsidR="006E6F47" w:rsidRPr="00A0556B">
        <w:rPr>
          <w:rFonts w:hint="eastAsia"/>
          <w:sz w:val="32"/>
          <w:szCs w:val="32"/>
        </w:rPr>
        <w:t>1</w:t>
      </w:r>
      <w:r w:rsidR="006E6F47" w:rsidRPr="00A0556B">
        <w:rPr>
          <w:rFonts w:hint="eastAsia"/>
          <w:sz w:val="32"/>
          <w:szCs w:val="32"/>
        </w:rPr>
        <w:t>期</w:t>
      </w:r>
      <w:r w:rsidR="006E6F47" w:rsidRPr="00A0556B">
        <w:rPr>
          <w:rFonts w:hint="eastAsia"/>
          <w:sz w:val="32"/>
          <w:szCs w:val="32"/>
        </w:rPr>
        <w:t>)</w:t>
      </w:r>
    </w:p>
    <w:p w:rsidR="00F7406F" w:rsidRDefault="00F7406F" w:rsidP="006E6F47">
      <w:pPr>
        <w:jc w:val="center"/>
        <w:rPr>
          <w:sz w:val="32"/>
          <w:szCs w:val="32"/>
        </w:rPr>
      </w:pPr>
    </w:p>
    <w:p w:rsidR="00A0556B" w:rsidRPr="009975D4" w:rsidRDefault="00A0556B" w:rsidP="001A4F9F">
      <w:pPr>
        <w:rPr>
          <w:szCs w:val="24"/>
        </w:rPr>
      </w:pPr>
      <w:r w:rsidRPr="009975D4">
        <w:rPr>
          <w:rFonts w:hint="eastAsia"/>
          <w:szCs w:val="24"/>
        </w:rPr>
        <w:t>單位名稱</w:t>
      </w:r>
      <w:r w:rsidR="001A4F9F" w:rsidRPr="009975D4">
        <w:rPr>
          <w:rFonts w:hint="eastAsia"/>
          <w:szCs w:val="24"/>
        </w:rPr>
        <w:t>:</w:t>
      </w:r>
      <w:r w:rsidR="00E26653">
        <w:rPr>
          <w:rFonts w:hint="eastAsia"/>
          <w:szCs w:val="24"/>
        </w:rPr>
        <w:t xml:space="preserve">                                                                                    </w:t>
      </w:r>
      <w:r w:rsidR="00E26653">
        <w:rPr>
          <w:rFonts w:hint="eastAsia"/>
          <w:szCs w:val="24"/>
        </w:rPr>
        <w:t>填表日期</w:t>
      </w:r>
      <w:r w:rsidR="00E26653">
        <w:rPr>
          <w:rFonts w:hint="eastAsia"/>
          <w:szCs w:val="24"/>
        </w:rPr>
        <w:t xml:space="preserve">:   </w:t>
      </w:r>
      <w:r w:rsidR="00E26653">
        <w:rPr>
          <w:rFonts w:hint="eastAsia"/>
          <w:szCs w:val="24"/>
        </w:rPr>
        <w:t>年</w:t>
      </w:r>
      <w:r w:rsidR="00E26653">
        <w:rPr>
          <w:rFonts w:hint="eastAsia"/>
          <w:szCs w:val="24"/>
        </w:rPr>
        <w:t xml:space="preserve">   </w:t>
      </w:r>
      <w:r w:rsidR="00E26653">
        <w:rPr>
          <w:rFonts w:hint="eastAsia"/>
          <w:szCs w:val="24"/>
        </w:rPr>
        <w:t>月</w:t>
      </w:r>
      <w:r w:rsidR="00E26653">
        <w:rPr>
          <w:rFonts w:hint="eastAsia"/>
          <w:szCs w:val="24"/>
        </w:rPr>
        <w:t xml:space="preserve">   </w:t>
      </w:r>
      <w:r w:rsidR="00E26653">
        <w:rPr>
          <w:rFonts w:hint="eastAsia"/>
          <w:szCs w:val="24"/>
        </w:rPr>
        <w:t>日</w:t>
      </w:r>
    </w:p>
    <w:tbl>
      <w:tblPr>
        <w:tblStyle w:val="a5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34"/>
        <w:gridCol w:w="1417"/>
        <w:gridCol w:w="1402"/>
        <w:gridCol w:w="1402"/>
        <w:gridCol w:w="1449"/>
        <w:gridCol w:w="1355"/>
        <w:gridCol w:w="1402"/>
        <w:gridCol w:w="1212"/>
      </w:tblGrid>
      <w:tr w:rsidR="00A0556B" w:rsidTr="00BA6579">
        <w:trPr>
          <w:trHeight w:val="407"/>
        </w:trPr>
        <w:tc>
          <w:tcPr>
            <w:tcW w:w="1401" w:type="dxa"/>
            <w:vMerge w:val="restart"/>
            <w:vAlign w:val="center"/>
          </w:tcPr>
          <w:p w:rsidR="00A0556B" w:rsidRDefault="00A0556B" w:rsidP="001A4F9F">
            <w:pPr>
              <w:jc w:val="both"/>
            </w:pPr>
            <w:r>
              <w:rPr>
                <w:rFonts w:hint="eastAsia"/>
              </w:rPr>
              <w:t>風險項目</w:t>
            </w:r>
          </w:p>
        </w:tc>
        <w:tc>
          <w:tcPr>
            <w:tcW w:w="1401" w:type="dxa"/>
            <w:vMerge w:val="restart"/>
            <w:vAlign w:val="center"/>
          </w:tcPr>
          <w:p w:rsidR="00A0556B" w:rsidRDefault="00A0556B" w:rsidP="001A4F9F">
            <w:pPr>
              <w:jc w:val="both"/>
            </w:pPr>
            <w:r>
              <w:rPr>
                <w:rFonts w:hint="eastAsia"/>
              </w:rPr>
              <w:t>風險情境</w:t>
            </w:r>
          </w:p>
        </w:tc>
        <w:tc>
          <w:tcPr>
            <w:tcW w:w="2835" w:type="dxa"/>
            <w:gridSpan w:val="2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風險本質分析</w:t>
            </w:r>
          </w:p>
        </w:tc>
        <w:tc>
          <w:tcPr>
            <w:tcW w:w="1417" w:type="dxa"/>
            <w:vMerge w:val="restart"/>
          </w:tcPr>
          <w:p w:rsidR="00A0556B" w:rsidRDefault="00A0556B" w:rsidP="0013542E">
            <w:pPr>
              <w:jc w:val="center"/>
            </w:pPr>
            <w:r>
              <w:rPr>
                <w:rFonts w:hint="eastAsia"/>
              </w:rPr>
              <w:t>風險值</w:t>
            </w:r>
            <w:r>
              <w:rPr>
                <w:rFonts w:hint="eastAsia"/>
              </w:rPr>
              <w:t>(R)</w:t>
            </w:r>
          </w:p>
          <w:p w:rsidR="00A0556B" w:rsidRDefault="00A0556B" w:rsidP="0013542E">
            <w:pPr>
              <w:jc w:val="center"/>
            </w:pPr>
            <w:r>
              <w:rPr>
                <w:rFonts w:hint="eastAsia"/>
              </w:rPr>
              <w:t>=(L)*(I)</w:t>
            </w:r>
          </w:p>
        </w:tc>
        <w:tc>
          <w:tcPr>
            <w:tcW w:w="1402" w:type="dxa"/>
            <w:vMerge w:val="restart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現有控制機制</w:t>
            </w:r>
          </w:p>
        </w:tc>
        <w:tc>
          <w:tcPr>
            <w:tcW w:w="2851" w:type="dxa"/>
            <w:gridSpan w:val="2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現有風險分析</w:t>
            </w:r>
          </w:p>
        </w:tc>
        <w:tc>
          <w:tcPr>
            <w:tcW w:w="1355" w:type="dxa"/>
            <w:vMerge w:val="restart"/>
          </w:tcPr>
          <w:p w:rsidR="00A0556B" w:rsidRDefault="00A0556B" w:rsidP="00A0556B">
            <w:pPr>
              <w:jc w:val="center"/>
            </w:pPr>
            <w:r>
              <w:rPr>
                <w:rFonts w:hint="eastAsia"/>
              </w:rPr>
              <w:t>風險值</w:t>
            </w:r>
            <w:r>
              <w:rPr>
                <w:rFonts w:hint="eastAsia"/>
              </w:rPr>
              <w:t>(R)</w:t>
            </w:r>
          </w:p>
          <w:p w:rsidR="00A0556B" w:rsidRDefault="00A0556B" w:rsidP="00A0556B">
            <w:pPr>
              <w:jc w:val="center"/>
            </w:pPr>
            <w:r>
              <w:rPr>
                <w:rFonts w:hint="eastAsia"/>
              </w:rPr>
              <w:t>=(L)*(I)</w:t>
            </w:r>
          </w:p>
        </w:tc>
        <w:tc>
          <w:tcPr>
            <w:tcW w:w="1402" w:type="dxa"/>
            <w:vMerge w:val="restart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新增控制機制</w:t>
            </w:r>
          </w:p>
        </w:tc>
        <w:tc>
          <w:tcPr>
            <w:tcW w:w="1212" w:type="dxa"/>
            <w:vMerge w:val="restart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負責單位</w:t>
            </w:r>
          </w:p>
        </w:tc>
      </w:tr>
      <w:tr w:rsidR="00A0556B" w:rsidTr="00BA6579">
        <w:trPr>
          <w:trHeight w:val="425"/>
        </w:trPr>
        <w:tc>
          <w:tcPr>
            <w:tcW w:w="1401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可能性</w:t>
            </w:r>
            <w:r>
              <w:rPr>
                <w:rFonts w:hint="eastAsia"/>
              </w:rPr>
              <w:t>(L)</w:t>
            </w:r>
          </w:p>
        </w:tc>
        <w:tc>
          <w:tcPr>
            <w:tcW w:w="1434" w:type="dxa"/>
          </w:tcPr>
          <w:p w:rsidR="00A0556B" w:rsidRDefault="00A0556B" w:rsidP="00A0556B">
            <w:r>
              <w:rPr>
                <w:rFonts w:hint="eastAsia"/>
              </w:rPr>
              <w:t>影響程度</w:t>
            </w:r>
            <w:r>
              <w:rPr>
                <w:rFonts w:hint="eastAsia"/>
              </w:rPr>
              <w:t>(I)</w:t>
            </w:r>
          </w:p>
        </w:tc>
        <w:tc>
          <w:tcPr>
            <w:tcW w:w="1417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  <w:r>
              <w:rPr>
                <w:rFonts w:hint="eastAsia"/>
              </w:rPr>
              <w:t>可能性</w:t>
            </w:r>
            <w:r>
              <w:rPr>
                <w:rFonts w:hint="eastAsia"/>
              </w:rPr>
              <w:t>(L)</w:t>
            </w:r>
          </w:p>
        </w:tc>
        <w:tc>
          <w:tcPr>
            <w:tcW w:w="1449" w:type="dxa"/>
          </w:tcPr>
          <w:p w:rsidR="00A0556B" w:rsidRDefault="00A0556B" w:rsidP="00A0556B">
            <w:r>
              <w:rPr>
                <w:rFonts w:hint="eastAsia"/>
              </w:rPr>
              <w:t>影響程度</w:t>
            </w:r>
            <w:r>
              <w:rPr>
                <w:rFonts w:hint="eastAsia"/>
              </w:rPr>
              <w:t>(I)</w:t>
            </w:r>
          </w:p>
        </w:tc>
        <w:tc>
          <w:tcPr>
            <w:tcW w:w="1355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  <w:vMerge/>
          </w:tcPr>
          <w:p w:rsidR="00A0556B" w:rsidRDefault="00A0556B" w:rsidP="006E6F47">
            <w:pPr>
              <w:jc w:val="center"/>
            </w:pPr>
          </w:p>
        </w:tc>
        <w:tc>
          <w:tcPr>
            <w:tcW w:w="1212" w:type="dxa"/>
            <w:vMerge/>
          </w:tcPr>
          <w:p w:rsidR="00A0556B" w:rsidRDefault="00A0556B" w:rsidP="006E6F47">
            <w:pPr>
              <w:jc w:val="center"/>
            </w:pPr>
          </w:p>
        </w:tc>
      </w:tr>
      <w:tr w:rsidR="00A0556B" w:rsidTr="00BA6579"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34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17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49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355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212" w:type="dxa"/>
          </w:tcPr>
          <w:p w:rsidR="00A0556B" w:rsidRDefault="00A0556B" w:rsidP="006E6F47">
            <w:pPr>
              <w:jc w:val="center"/>
            </w:pPr>
          </w:p>
        </w:tc>
      </w:tr>
      <w:tr w:rsidR="00A0556B" w:rsidTr="00BA6579"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1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34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17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49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355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402" w:type="dxa"/>
          </w:tcPr>
          <w:p w:rsidR="00A0556B" w:rsidRDefault="00A0556B" w:rsidP="006E6F47">
            <w:pPr>
              <w:jc w:val="center"/>
            </w:pPr>
          </w:p>
        </w:tc>
        <w:tc>
          <w:tcPr>
            <w:tcW w:w="1212" w:type="dxa"/>
          </w:tcPr>
          <w:p w:rsidR="00A0556B" w:rsidRDefault="00A0556B" w:rsidP="006E6F47">
            <w:pPr>
              <w:jc w:val="center"/>
            </w:pPr>
          </w:p>
        </w:tc>
      </w:tr>
      <w:tr w:rsidR="00621225" w:rsidTr="00BA6579"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34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17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49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355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212" w:type="dxa"/>
          </w:tcPr>
          <w:p w:rsidR="00621225" w:rsidRDefault="00621225" w:rsidP="006E6F47">
            <w:pPr>
              <w:jc w:val="center"/>
            </w:pPr>
          </w:p>
        </w:tc>
      </w:tr>
      <w:tr w:rsidR="00621225" w:rsidTr="00BA6579"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1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34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17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49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355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402" w:type="dxa"/>
          </w:tcPr>
          <w:p w:rsidR="00621225" w:rsidRDefault="00621225" w:rsidP="006E6F47">
            <w:pPr>
              <w:jc w:val="center"/>
            </w:pPr>
          </w:p>
        </w:tc>
        <w:tc>
          <w:tcPr>
            <w:tcW w:w="1212" w:type="dxa"/>
          </w:tcPr>
          <w:p w:rsidR="00621225" w:rsidRDefault="00621225" w:rsidP="006E6F47">
            <w:pPr>
              <w:jc w:val="center"/>
            </w:pPr>
          </w:p>
        </w:tc>
      </w:tr>
    </w:tbl>
    <w:p w:rsidR="006E6F47" w:rsidRDefault="00EE1230" w:rsidP="00EE1230">
      <w:r>
        <w:rPr>
          <w:rFonts w:hint="eastAsia"/>
        </w:rPr>
        <w:t>填表說明</w:t>
      </w:r>
      <w:r>
        <w:rPr>
          <w:rFonts w:hint="eastAsia"/>
        </w:rPr>
        <w:t>:1.</w:t>
      </w:r>
      <w:r>
        <w:rPr>
          <w:rFonts w:hint="eastAsia"/>
        </w:rPr>
        <w:t>風險項目</w:t>
      </w:r>
      <w:r w:rsidR="00E36057">
        <w:rPr>
          <w:rFonts w:hint="eastAsia"/>
        </w:rPr>
        <w:t>:</w:t>
      </w:r>
      <w:r w:rsidR="00532117" w:rsidRPr="00532117">
        <w:rPr>
          <w:rFonts w:hint="eastAsia"/>
        </w:rPr>
        <w:t xml:space="preserve"> </w:t>
      </w:r>
      <w:r w:rsidR="00532117">
        <w:rPr>
          <w:rFonts w:hint="eastAsia"/>
        </w:rPr>
        <w:t>請依貴單位提列個別性業務內部控制作業項目依項目編號順序</w:t>
      </w:r>
      <w:proofErr w:type="gramStart"/>
      <w:r w:rsidR="00532117">
        <w:rPr>
          <w:rFonts w:hint="eastAsia"/>
        </w:rPr>
        <w:t>臚</w:t>
      </w:r>
      <w:proofErr w:type="gramEnd"/>
      <w:r w:rsidR="00532117">
        <w:rPr>
          <w:rFonts w:hint="eastAsia"/>
        </w:rPr>
        <w:t>列風險項目。</w:t>
      </w:r>
    </w:p>
    <w:p w:rsidR="00ED6FD0" w:rsidRDefault="00EE1230" w:rsidP="00EE1230">
      <w:r>
        <w:rPr>
          <w:rFonts w:hint="eastAsia"/>
        </w:rPr>
        <w:t xml:space="preserve">         2.</w:t>
      </w:r>
      <w:r>
        <w:rPr>
          <w:rFonts w:hint="eastAsia"/>
        </w:rPr>
        <w:t>風險情境</w:t>
      </w:r>
      <w:r w:rsidR="00E36057">
        <w:rPr>
          <w:rFonts w:hint="eastAsia"/>
        </w:rPr>
        <w:t>:</w:t>
      </w:r>
      <w:r>
        <w:rPr>
          <w:rFonts w:hint="eastAsia"/>
        </w:rPr>
        <w:t>請各</w:t>
      </w:r>
      <w:r w:rsidR="00E36057">
        <w:rPr>
          <w:rFonts w:hint="eastAsia"/>
        </w:rPr>
        <w:t>內部控制</w:t>
      </w:r>
      <w:r>
        <w:rPr>
          <w:rFonts w:hint="eastAsia"/>
        </w:rPr>
        <w:t>作業項目</w:t>
      </w:r>
      <w:r w:rsidR="00E36057">
        <w:rPr>
          <w:rFonts w:hint="eastAsia"/>
        </w:rPr>
        <w:t>承辦人</w:t>
      </w:r>
      <w:r>
        <w:rPr>
          <w:rFonts w:hint="eastAsia"/>
        </w:rPr>
        <w:t>就風險</w:t>
      </w:r>
      <w:r w:rsidR="00ED6FD0">
        <w:rPr>
          <w:rFonts w:hint="eastAsia"/>
        </w:rPr>
        <w:t>項目填列可能發生之風險狀況。</w:t>
      </w:r>
    </w:p>
    <w:p w:rsidR="00EE1230" w:rsidRDefault="00ED6FD0" w:rsidP="00E26653">
      <w:pPr>
        <w:ind w:left="1274" w:hangingChars="531" w:hanging="1274"/>
      </w:pPr>
      <w:r>
        <w:rPr>
          <w:rFonts w:hint="eastAsia"/>
        </w:rPr>
        <w:t xml:space="preserve">         3.</w:t>
      </w:r>
      <w:r>
        <w:rPr>
          <w:rFonts w:hint="eastAsia"/>
        </w:rPr>
        <w:t>就風險項目本質分析風險值</w:t>
      </w:r>
      <w:r w:rsidR="004E0B25">
        <w:rPr>
          <w:rFonts w:hint="eastAsia"/>
        </w:rPr>
        <w:t>(</w:t>
      </w:r>
      <w:r w:rsidR="004E0B25">
        <w:rPr>
          <w:rFonts w:hint="eastAsia"/>
        </w:rPr>
        <w:t>以去年所填列風險值為原則</w:t>
      </w:r>
      <w:r w:rsidR="004E0B25">
        <w:rPr>
          <w:rFonts w:hint="eastAsia"/>
        </w:rPr>
        <w:t>)</w:t>
      </w:r>
      <w:r>
        <w:rPr>
          <w:rFonts w:hint="eastAsia"/>
        </w:rPr>
        <w:t>，再就所設風險情境下現有控制機制為何</w:t>
      </w:r>
      <w:r>
        <w:rPr>
          <w:rFonts w:hint="eastAsia"/>
        </w:rPr>
        <w:t>?</w:t>
      </w:r>
      <w:r>
        <w:rPr>
          <w:rFonts w:hint="eastAsia"/>
        </w:rPr>
        <w:t>現有風險仍維持、提高或降低原風險值，針對此風險情境是否需再新增控制機制。</w:t>
      </w:r>
      <w:r w:rsidR="00EE1230">
        <w:rPr>
          <w:rFonts w:hint="eastAsia"/>
        </w:rPr>
        <w:t xml:space="preserve"> </w:t>
      </w:r>
    </w:p>
    <w:p w:rsidR="00E26653" w:rsidRDefault="00E26653" w:rsidP="00E26653">
      <w:pPr>
        <w:ind w:firstLineChars="443" w:firstLine="1063"/>
      </w:pPr>
      <w:r>
        <w:rPr>
          <w:rFonts w:hint="eastAsia"/>
        </w:rPr>
        <w:t>4.</w:t>
      </w:r>
      <w:r>
        <w:rPr>
          <w:rFonts w:hint="eastAsia"/>
        </w:rPr>
        <w:t>可能性</w:t>
      </w:r>
      <w:r>
        <w:rPr>
          <w:rFonts w:hint="eastAsia"/>
        </w:rPr>
        <w:t>(L)</w:t>
      </w:r>
      <w:r w:rsidR="0097610D">
        <w:rPr>
          <w:rFonts w:hint="eastAsia"/>
        </w:rPr>
        <w:t>評分</w:t>
      </w:r>
      <w:r>
        <w:rPr>
          <w:rFonts w:hint="eastAsia"/>
        </w:rPr>
        <w:t>-</w:t>
      </w:r>
      <w:r>
        <w:rPr>
          <w:rFonts w:hint="eastAsia"/>
        </w:rPr>
        <w:t>幾乎不可能</w:t>
      </w:r>
      <w:r>
        <w:rPr>
          <w:rFonts w:hint="eastAsia"/>
        </w:rPr>
        <w:t>(</w:t>
      </w:r>
      <w:r>
        <w:rPr>
          <w:rFonts w:hint="eastAsia"/>
        </w:rPr>
        <w:t>低</w:t>
      </w:r>
      <w:r>
        <w:rPr>
          <w:rFonts w:hint="eastAsia"/>
        </w:rPr>
        <w:t>)1</w:t>
      </w:r>
      <w:r>
        <w:rPr>
          <w:rFonts w:hint="eastAsia"/>
        </w:rPr>
        <w:t>分、可能</w:t>
      </w:r>
      <w:r>
        <w:rPr>
          <w:rFonts w:hint="eastAsia"/>
        </w:rPr>
        <w:t>(</w:t>
      </w:r>
      <w:r>
        <w:rPr>
          <w:rFonts w:hint="eastAsia"/>
        </w:rPr>
        <w:t>中</w:t>
      </w:r>
      <w:r>
        <w:rPr>
          <w:rFonts w:hint="eastAsia"/>
        </w:rPr>
        <w:t>)2</w:t>
      </w:r>
      <w:r>
        <w:rPr>
          <w:rFonts w:hint="eastAsia"/>
        </w:rPr>
        <w:t>分、幾乎確定</w:t>
      </w:r>
      <w:r>
        <w:rPr>
          <w:rFonts w:hint="eastAsia"/>
        </w:rPr>
        <w:t>(</w:t>
      </w:r>
      <w:r>
        <w:rPr>
          <w:rFonts w:hint="eastAsia"/>
        </w:rPr>
        <w:t>高</w:t>
      </w:r>
      <w:r>
        <w:rPr>
          <w:rFonts w:hint="eastAsia"/>
        </w:rPr>
        <w:t>)3</w:t>
      </w:r>
      <w:r>
        <w:rPr>
          <w:rFonts w:hint="eastAsia"/>
        </w:rPr>
        <w:t>分</w:t>
      </w:r>
      <w:r w:rsidR="00E36057">
        <w:rPr>
          <w:rFonts w:hint="eastAsia"/>
        </w:rPr>
        <w:t>。</w:t>
      </w:r>
    </w:p>
    <w:p w:rsidR="0097610D" w:rsidRDefault="0097610D" w:rsidP="00E26653">
      <w:pPr>
        <w:ind w:firstLineChars="443" w:firstLine="1063"/>
      </w:pPr>
      <w:r>
        <w:rPr>
          <w:rFonts w:hint="eastAsia"/>
        </w:rPr>
        <w:t>5.</w:t>
      </w:r>
      <w:r>
        <w:rPr>
          <w:rFonts w:hint="eastAsia"/>
        </w:rPr>
        <w:t>影響程度</w:t>
      </w:r>
      <w:r>
        <w:rPr>
          <w:rFonts w:hint="eastAsia"/>
        </w:rPr>
        <w:t>(I)</w:t>
      </w:r>
      <w:r>
        <w:rPr>
          <w:rFonts w:hint="eastAsia"/>
        </w:rPr>
        <w:t>評分</w:t>
      </w:r>
      <w:r>
        <w:rPr>
          <w:rFonts w:hint="eastAsia"/>
        </w:rPr>
        <w:t>-</w:t>
      </w:r>
      <w:r>
        <w:rPr>
          <w:rFonts w:hint="eastAsia"/>
        </w:rPr>
        <w:t>輕微</w:t>
      </w:r>
      <w:r>
        <w:rPr>
          <w:rFonts w:hint="eastAsia"/>
        </w:rPr>
        <w:t>1</w:t>
      </w:r>
      <w:r>
        <w:rPr>
          <w:rFonts w:hint="eastAsia"/>
        </w:rPr>
        <w:t>分、嚴重</w:t>
      </w:r>
      <w:r>
        <w:rPr>
          <w:rFonts w:hint="eastAsia"/>
        </w:rPr>
        <w:t>2</w:t>
      </w:r>
      <w:r>
        <w:rPr>
          <w:rFonts w:hint="eastAsia"/>
        </w:rPr>
        <w:t>分、非常嚴重</w:t>
      </w:r>
      <w:r>
        <w:rPr>
          <w:rFonts w:hint="eastAsia"/>
        </w:rPr>
        <w:t>3</w:t>
      </w:r>
      <w:r>
        <w:rPr>
          <w:rFonts w:hint="eastAsia"/>
        </w:rPr>
        <w:t>分</w:t>
      </w:r>
      <w:r w:rsidR="00E36057">
        <w:rPr>
          <w:rFonts w:hint="eastAsia"/>
        </w:rPr>
        <w:t>。</w:t>
      </w:r>
    </w:p>
    <w:p w:rsidR="0097610D" w:rsidRDefault="0097610D" w:rsidP="00E26653">
      <w:pPr>
        <w:ind w:firstLineChars="443" w:firstLine="1063"/>
      </w:pPr>
      <w:r>
        <w:rPr>
          <w:rFonts w:hint="eastAsia"/>
        </w:rPr>
        <w:t>6.</w:t>
      </w:r>
      <w:r>
        <w:rPr>
          <w:rFonts w:hint="eastAsia"/>
        </w:rPr>
        <w:t>風險值</w:t>
      </w:r>
      <w:r>
        <w:rPr>
          <w:rFonts w:hint="eastAsia"/>
        </w:rPr>
        <w:t>(R)</w:t>
      </w:r>
      <w:r>
        <w:rPr>
          <w:rFonts w:hint="eastAsia"/>
        </w:rPr>
        <w:t>評分</w:t>
      </w:r>
      <w:r>
        <w:rPr>
          <w:rFonts w:hint="eastAsia"/>
        </w:rPr>
        <w:t>-1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低風險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中度風險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3-6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高度風險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極高風險</w:t>
      </w:r>
      <w:r>
        <w:rPr>
          <w:rFonts w:hint="eastAsia"/>
        </w:rPr>
        <w:t>)</w:t>
      </w:r>
      <w:r w:rsidR="00E36057">
        <w:rPr>
          <w:rFonts w:hint="eastAsia"/>
        </w:rPr>
        <w:t>。</w:t>
      </w:r>
    </w:p>
    <w:p w:rsidR="00621225" w:rsidRDefault="00621225" w:rsidP="00F7406F"/>
    <w:p w:rsidR="00F7406F" w:rsidRDefault="00F7406F" w:rsidP="00F7406F"/>
    <w:p w:rsidR="00F7406F" w:rsidRPr="00F7406F" w:rsidRDefault="00F7406F" w:rsidP="00F7406F">
      <w:pPr>
        <w:rPr>
          <w:sz w:val="32"/>
          <w:szCs w:val="32"/>
        </w:rPr>
      </w:pPr>
      <w:r w:rsidRPr="00F7406F">
        <w:rPr>
          <w:rFonts w:hint="eastAsia"/>
          <w:sz w:val="32"/>
          <w:szCs w:val="32"/>
        </w:rPr>
        <w:t>單位承辦人</w:t>
      </w:r>
      <w:r w:rsidRPr="00F7406F">
        <w:rPr>
          <w:rFonts w:hint="eastAsia"/>
          <w:sz w:val="32"/>
          <w:szCs w:val="32"/>
        </w:rPr>
        <w:t xml:space="preserve">:                                          </w:t>
      </w:r>
      <w:r w:rsidRPr="00F7406F">
        <w:rPr>
          <w:rFonts w:hint="eastAsia"/>
          <w:sz w:val="32"/>
          <w:szCs w:val="32"/>
        </w:rPr>
        <w:t>單位主管</w:t>
      </w:r>
      <w:r w:rsidRPr="00F7406F">
        <w:rPr>
          <w:rFonts w:hint="eastAsia"/>
          <w:sz w:val="32"/>
          <w:szCs w:val="32"/>
        </w:rPr>
        <w:t>:</w:t>
      </w:r>
    </w:p>
    <w:p w:rsidR="00F7406F" w:rsidRDefault="00F7406F" w:rsidP="00F7406F">
      <w:pPr>
        <w:rPr>
          <w:sz w:val="32"/>
          <w:szCs w:val="32"/>
        </w:rPr>
      </w:pPr>
    </w:p>
    <w:p w:rsidR="00621225" w:rsidRDefault="00621225" w:rsidP="000311AE">
      <w:pPr>
        <w:jc w:val="center"/>
        <w:rPr>
          <w:sz w:val="32"/>
          <w:szCs w:val="32"/>
        </w:rPr>
      </w:pPr>
      <w:bookmarkStart w:id="0" w:name="_GoBack"/>
      <w:bookmarkEnd w:id="0"/>
    </w:p>
    <w:sectPr w:rsidR="00621225" w:rsidSect="00621225">
      <w:pgSz w:w="16838" w:h="11906" w:orient="landscape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5F" w:rsidRDefault="0029765F" w:rsidP="00EE1230">
      <w:r>
        <w:separator/>
      </w:r>
    </w:p>
  </w:endnote>
  <w:endnote w:type="continuationSeparator" w:id="0">
    <w:p w:rsidR="0029765F" w:rsidRDefault="0029765F" w:rsidP="00E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5F" w:rsidRDefault="0029765F" w:rsidP="00EE1230">
      <w:r>
        <w:separator/>
      </w:r>
    </w:p>
  </w:footnote>
  <w:footnote w:type="continuationSeparator" w:id="0">
    <w:p w:rsidR="0029765F" w:rsidRDefault="0029765F" w:rsidP="00EE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7"/>
    <w:rsid w:val="00017DA2"/>
    <w:rsid w:val="000311AE"/>
    <w:rsid w:val="000924AB"/>
    <w:rsid w:val="001168A3"/>
    <w:rsid w:val="0013542E"/>
    <w:rsid w:val="001A4F9F"/>
    <w:rsid w:val="001E20E5"/>
    <w:rsid w:val="0022642C"/>
    <w:rsid w:val="00286E89"/>
    <w:rsid w:val="0029765F"/>
    <w:rsid w:val="002E162D"/>
    <w:rsid w:val="002E4B9C"/>
    <w:rsid w:val="00334DDC"/>
    <w:rsid w:val="00335E81"/>
    <w:rsid w:val="00401E11"/>
    <w:rsid w:val="0047165F"/>
    <w:rsid w:val="004E0B25"/>
    <w:rsid w:val="00532117"/>
    <w:rsid w:val="00547EA8"/>
    <w:rsid w:val="0056387D"/>
    <w:rsid w:val="005C51DD"/>
    <w:rsid w:val="00621225"/>
    <w:rsid w:val="006653A7"/>
    <w:rsid w:val="0068337A"/>
    <w:rsid w:val="006D2D09"/>
    <w:rsid w:val="006E6F47"/>
    <w:rsid w:val="00731FE3"/>
    <w:rsid w:val="007C36FF"/>
    <w:rsid w:val="008747F7"/>
    <w:rsid w:val="008812FB"/>
    <w:rsid w:val="00947255"/>
    <w:rsid w:val="0097610D"/>
    <w:rsid w:val="00990A40"/>
    <w:rsid w:val="00994FA1"/>
    <w:rsid w:val="009975D4"/>
    <w:rsid w:val="00A0556B"/>
    <w:rsid w:val="00A15358"/>
    <w:rsid w:val="00AE3D0A"/>
    <w:rsid w:val="00B15762"/>
    <w:rsid w:val="00B24FA2"/>
    <w:rsid w:val="00BA6579"/>
    <w:rsid w:val="00BD3BD0"/>
    <w:rsid w:val="00C2370F"/>
    <w:rsid w:val="00C27C91"/>
    <w:rsid w:val="00CE203D"/>
    <w:rsid w:val="00CF287A"/>
    <w:rsid w:val="00DC517C"/>
    <w:rsid w:val="00DE19B7"/>
    <w:rsid w:val="00E26653"/>
    <w:rsid w:val="00E36057"/>
    <w:rsid w:val="00E82096"/>
    <w:rsid w:val="00EB7230"/>
    <w:rsid w:val="00ED4377"/>
    <w:rsid w:val="00ED6FD0"/>
    <w:rsid w:val="00EE1230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table" w:styleId="a5">
    <w:name w:val="Table Grid"/>
    <w:basedOn w:val="a1"/>
    <w:uiPriority w:val="59"/>
    <w:rsid w:val="006E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37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E1230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EE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EE1230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table" w:styleId="a5">
    <w:name w:val="Table Grid"/>
    <w:basedOn w:val="a1"/>
    <w:uiPriority w:val="59"/>
    <w:rsid w:val="006E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37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E1230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EE1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EE123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22A-8B9B-4F41-B57D-EC7E513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569</Characters>
  <Application>Microsoft Office Word</Application>
  <DocSecurity>0</DocSecurity>
  <Lines>4</Lines>
  <Paragraphs>1</Paragraphs>
  <ScaleCrop>false</ScaleCrop>
  <Company>OEM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2013-12-25T06:33:00Z</cp:lastPrinted>
  <dcterms:created xsi:type="dcterms:W3CDTF">2013-12-24T09:24:00Z</dcterms:created>
  <dcterms:modified xsi:type="dcterms:W3CDTF">2013-12-27T04:01:00Z</dcterms:modified>
</cp:coreProperties>
</file>