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57" w:rsidRPr="00DE2C95" w:rsidRDefault="008253EF" w:rsidP="00DE2C95">
      <w:pPr>
        <w:widowControl/>
        <w:spacing w:line="400" w:lineRule="exact"/>
        <w:jc w:val="center"/>
        <w:rPr>
          <w:rFonts w:ascii="標楷體" w:eastAsia="標楷體" w:hAnsi="標楷體" w:cs="新細明體"/>
          <w:b/>
          <w:bCs/>
          <w:color w:val="000000"/>
          <w:kern w:val="0"/>
          <w:sz w:val="28"/>
          <w:szCs w:val="28"/>
          <w:lang w:eastAsia="zh-HK"/>
        </w:rPr>
      </w:pPr>
      <w:r>
        <w:rPr>
          <w:rFonts w:ascii="標楷體" w:eastAsia="標楷體" w:hAnsi="標楷體" w:hint="eastAsia"/>
          <w:b/>
          <w:noProof/>
          <w:sz w:val="28"/>
          <w:szCs w:val="28"/>
        </w:rPr>
        <w:pict>
          <v:rect id="_x0000_s1026" style="position:absolute;left:0;text-align:left;margin-left:377.95pt;margin-top:-38pt;width:132pt;height:37.8pt;z-index:1">
            <v:textbox>
              <w:txbxContent>
                <w:p w:rsidR="008253EF" w:rsidRDefault="008253EF">
                  <w:r>
                    <w:rPr>
                      <w:rFonts w:hint="eastAsia"/>
                    </w:rPr>
                    <w:t>表格編號：</w:t>
                  </w:r>
                  <w:r>
                    <w:rPr>
                      <w:rFonts w:hint="eastAsia"/>
                      <w:sz w:val="28"/>
                      <w:szCs w:val="28"/>
                    </w:rPr>
                    <w:t>C-1-02</w:t>
                  </w:r>
                  <w:bookmarkStart w:id="0" w:name="_GoBack"/>
                  <w:bookmarkEnd w:id="0"/>
                </w:p>
              </w:txbxContent>
            </v:textbox>
          </v:rect>
        </w:pict>
      </w:r>
      <w:r w:rsidR="00E80557" w:rsidRPr="00DE2C95">
        <w:rPr>
          <w:rFonts w:ascii="標楷體" w:eastAsia="標楷體" w:hAnsi="標楷體" w:hint="eastAsia"/>
          <w:b/>
          <w:sz w:val="28"/>
          <w:szCs w:val="28"/>
        </w:rPr>
        <w:t>國立嘉義大學</w:t>
      </w:r>
      <w:r w:rsidR="00E80557" w:rsidRPr="00DE2C95">
        <w:rPr>
          <w:rFonts w:ascii="標楷體" w:eastAsia="標楷體" w:hAnsi="標楷體" w:cs="新細明體" w:hint="eastAsia"/>
          <w:b/>
          <w:bCs/>
          <w:color w:val="000000"/>
          <w:kern w:val="0"/>
          <w:sz w:val="28"/>
          <w:szCs w:val="28"/>
        </w:rPr>
        <w:t>教師</w:t>
      </w:r>
      <w:r w:rsidR="00A238B4" w:rsidRPr="00B14FA1">
        <w:rPr>
          <w:rFonts w:ascii="標楷體" w:eastAsia="標楷體" w:hAnsi="標楷體" w:cs="新細明體" w:hint="eastAsia"/>
          <w:b/>
          <w:bCs/>
          <w:color w:val="FF0000"/>
          <w:kern w:val="0"/>
          <w:sz w:val="28"/>
          <w:szCs w:val="28"/>
          <w:u w:val="single"/>
        </w:rPr>
        <w:t>【</w:t>
      </w:r>
      <w:r w:rsidR="0081204A" w:rsidRPr="00B14FA1">
        <w:rPr>
          <w:rFonts w:ascii="標楷體" w:eastAsia="標楷體" w:hAnsi="標楷體" w:cs="新細明體" w:hint="eastAsia"/>
          <w:b/>
          <w:bCs/>
          <w:color w:val="FF0000"/>
          <w:kern w:val="0"/>
          <w:sz w:val="28"/>
          <w:szCs w:val="28"/>
          <w:u w:val="single"/>
        </w:rPr>
        <w:t>學術研究</w:t>
      </w:r>
      <w:r w:rsidR="003A24DA">
        <w:rPr>
          <w:rFonts w:ascii="標楷體" w:eastAsia="標楷體" w:hAnsi="標楷體" w:cs="新細明體" w:hint="eastAsia"/>
          <w:b/>
          <w:bCs/>
          <w:color w:val="FF0000"/>
          <w:kern w:val="0"/>
          <w:sz w:val="28"/>
          <w:szCs w:val="28"/>
          <w:u w:val="single"/>
        </w:rPr>
        <w:t>–專門著作</w:t>
      </w:r>
      <w:r w:rsidR="00A238B4" w:rsidRPr="00B14FA1">
        <w:rPr>
          <w:rFonts w:ascii="標楷體" w:eastAsia="標楷體" w:hAnsi="標楷體" w:cs="新細明體" w:hint="eastAsia"/>
          <w:b/>
          <w:bCs/>
          <w:color w:val="FF0000"/>
          <w:kern w:val="0"/>
          <w:sz w:val="28"/>
          <w:szCs w:val="28"/>
          <w:u w:val="single"/>
        </w:rPr>
        <w:t>】</w:t>
      </w:r>
      <w:r w:rsidR="00E80557" w:rsidRPr="00DE2C95">
        <w:rPr>
          <w:rFonts w:ascii="標楷體" w:eastAsia="標楷體" w:hAnsi="標楷體" w:cs="新細明體" w:hint="eastAsia"/>
          <w:b/>
          <w:bCs/>
          <w:color w:val="000000"/>
          <w:kern w:val="0"/>
          <w:sz w:val="28"/>
          <w:szCs w:val="28"/>
        </w:rPr>
        <w:t>送審教師資格審查基準</w:t>
      </w:r>
    </w:p>
    <w:p w:rsidR="00DE2C95" w:rsidRDefault="00DE2C95" w:rsidP="00E80557">
      <w:pPr>
        <w:widowControl/>
        <w:spacing w:line="200" w:lineRule="exact"/>
        <w:jc w:val="right"/>
        <w:rPr>
          <w:rFonts w:ascii="標楷體" w:eastAsia="標楷體" w:hAnsi="標楷體"/>
          <w:sz w:val="16"/>
          <w:szCs w:val="16"/>
        </w:rPr>
      </w:pPr>
    </w:p>
    <w:p w:rsidR="00E80557" w:rsidRDefault="00E80557" w:rsidP="00E80557">
      <w:pPr>
        <w:widowControl/>
        <w:spacing w:line="200" w:lineRule="exact"/>
        <w:jc w:val="right"/>
        <w:rPr>
          <w:rFonts w:ascii="標楷體" w:eastAsia="標楷體" w:hAnsi="標楷體"/>
          <w:sz w:val="16"/>
          <w:szCs w:val="16"/>
        </w:rPr>
      </w:pPr>
      <w:r>
        <w:rPr>
          <w:rFonts w:ascii="標楷體" w:eastAsia="標楷體" w:hAnsi="標楷體" w:hint="eastAsia"/>
          <w:sz w:val="16"/>
          <w:szCs w:val="16"/>
        </w:rPr>
        <w:t>105年10月18日105學年度第1學期第1次校務會議修正通過</w:t>
      </w:r>
    </w:p>
    <w:p w:rsidR="00E80557" w:rsidRDefault="00E80557" w:rsidP="00E80557">
      <w:pPr>
        <w:widowControl/>
        <w:spacing w:line="200" w:lineRule="exact"/>
        <w:jc w:val="right"/>
        <w:rPr>
          <w:rFonts w:ascii="標楷體" w:eastAsia="標楷體" w:hAnsi="標楷體"/>
          <w:sz w:val="16"/>
          <w:szCs w:val="16"/>
        </w:rPr>
      </w:pPr>
      <w:r>
        <w:rPr>
          <w:rFonts w:ascii="標楷體" w:eastAsia="標楷體" w:hAnsi="標楷體" w:hint="eastAsia"/>
          <w:sz w:val="16"/>
          <w:szCs w:val="16"/>
        </w:rPr>
        <w:t>105年12月20日105學年度第1學期第2次校務會議修正通過</w:t>
      </w:r>
    </w:p>
    <w:p w:rsidR="00E80557" w:rsidRDefault="00E80557" w:rsidP="00E80557">
      <w:pPr>
        <w:widowControl/>
        <w:spacing w:line="200" w:lineRule="exact"/>
        <w:jc w:val="right"/>
        <w:rPr>
          <w:rFonts w:ascii="標楷體" w:eastAsia="標楷體" w:hAnsi="標楷體"/>
          <w:sz w:val="16"/>
          <w:szCs w:val="16"/>
        </w:rPr>
      </w:pPr>
      <w:r>
        <w:rPr>
          <w:rFonts w:ascii="標楷體" w:eastAsia="標楷體" w:hAnsi="標楷體" w:hint="eastAsia"/>
          <w:sz w:val="16"/>
          <w:szCs w:val="16"/>
        </w:rPr>
        <w:t>107年</w:t>
      </w:r>
      <w:r w:rsidR="000D05C6">
        <w:rPr>
          <w:rFonts w:ascii="標楷體" w:eastAsia="標楷體" w:hAnsi="標楷體"/>
          <w:sz w:val="16"/>
          <w:szCs w:val="16"/>
        </w:rPr>
        <w:t>03</w:t>
      </w:r>
      <w:r>
        <w:rPr>
          <w:rFonts w:ascii="標楷體" w:eastAsia="標楷體" w:hAnsi="標楷體" w:hint="eastAsia"/>
          <w:sz w:val="16"/>
          <w:szCs w:val="16"/>
        </w:rPr>
        <w:t>月</w:t>
      </w:r>
      <w:r w:rsidR="000D05C6">
        <w:rPr>
          <w:rFonts w:ascii="標楷體" w:eastAsia="標楷體" w:hAnsi="標楷體"/>
          <w:sz w:val="16"/>
          <w:szCs w:val="16"/>
        </w:rPr>
        <w:t>20</w:t>
      </w:r>
      <w:r>
        <w:rPr>
          <w:rFonts w:ascii="標楷體" w:eastAsia="標楷體" w:hAnsi="標楷體" w:hint="eastAsia"/>
          <w:sz w:val="16"/>
          <w:szCs w:val="16"/>
        </w:rPr>
        <w:t>日106學年度第</w:t>
      </w:r>
      <w:r w:rsidR="000D05C6">
        <w:rPr>
          <w:rFonts w:ascii="標楷體" w:eastAsia="標楷體" w:hAnsi="標楷體" w:hint="eastAsia"/>
          <w:sz w:val="16"/>
          <w:szCs w:val="16"/>
        </w:rPr>
        <w:t>2</w:t>
      </w:r>
      <w:r>
        <w:rPr>
          <w:rFonts w:ascii="標楷體" w:eastAsia="標楷體" w:hAnsi="標楷體" w:hint="eastAsia"/>
          <w:sz w:val="16"/>
          <w:szCs w:val="16"/>
        </w:rPr>
        <w:t>學期第</w:t>
      </w:r>
      <w:r w:rsidR="000D05C6">
        <w:rPr>
          <w:rFonts w:ascii="標楷體" w:eastAsia="標楷體" w:hAnsi="標楷體" w:hint="eastAsia"/>
          <w:sz w:val="16"/>
          <w:szCs w:val="16"/>
        </w:rPr>
        <w:t>1</w:t>
      </w:r>
      <w:r>
        <w:rPr>
          <w:rFonts w:ascii="標楷體" w:eastAsia="標楷體" w:hAnsi="標楷體" w:hint="eastAsia"/>
          <w:sz w:val="16"/>
          <w:szCs w:val="16"/>
        </w:rPr>
        <w:t>次校務會議修正通過</w:t>
      </w:r>
    </w:p>
    <w:p w:rsidR="00E80557" w:rsidRPr="00030788" w:rsidRDefault="004C5018" w:rsidP="00E80557">
      <w:pPr>
        <w:widowControl/>
        <w:spacing w:line="200" w:lineRule="exact"/>
        <w:jc w:val="right"/>
        <w:rPr>
          <w:rFonts w:ascii="標楷體" w:eastAsia="標楷體" w:hAnsi="標楷體"/>
          <w:b/>
          <w:color w:val="FF0000"/>
          <w:sz w:val="16"/>
          <w:szCs w:val="16"/>
        </w:rPr>
      </w:pPr>
      <w:r>
        <w:rPr>
          <w:rFonts w:ascii="標楷體" w:eastAsia="標楷體" w:hAnsi="標楷體" w:hint="eastAsia"/>
          <w:b/>
          <w:color w:val="FF0000"/>
          <w:sz w:val="16"/>
          <w:szCs w:val="16"/>
        </w:rPr>
        <w:t>111年12月13日111學年度第1學期第2</w:t>
      </w:r>
      <w:r w:rsidR="00A238B4" w:rsidRPr="00030788">
        <w:rPr>
          <w:rFonts w:ascii="標楷體" w:eastAsia="標楷體" w:hAnsi="標楷體" w:hint="eastAsia"/>
          <w:b/>
          <w:color w:val="FF0000"/>
          <w:sz w:val="16"/>
          <w:szCs w:val="16"/>
        </w:rPr>
        <w:t>次校務會議修正通過</w:t>
      </w:r>
    </w:p>
    <w:p w:rsidR="00E80557" w:rsidRDefault="00E80557" w:rsidP="00E80557">
      <w:pPr>
        <w:widowControl/>
        <w:spacing w:line="200" w:lineRule="exact"/>
        <w:jc w:val="right"/>
        <w:rPr>
          <w:rFonts w:ascii="標楷體" w:eastAsia="標楷體" w:hAnsi="標楷體"/>
          <w:sz w:val="16"/>
          <w:szCs w:val="16"/>
        </w:rPr>
      </w:pPr>
    </w:p>
    <w:p w:rsidR="00E80557" w:rsidRPr="0013501C" w:rsidRDefault="00E80557" w:rsidP="00E80557">
      <w:pPr>
        <w:widowControl/>
        <w:spacing w:line="200" w:lineRule="exact"/>
        <w:jc w:val="right"/>
        <w:rPr>
          <w:rFonts w:ascii="標楷體" w:eastAsia="標楷體" w:hAnsi="標楷體" w:cs="新細明體"/>
          <w:color w:val="333333"/>
          <w:kern w:val="0"/>
        </w:rPr>
      </w:pPr>
    </w:p>
    <w:tbl>
      <w:tblPr>
        <w:tblW w:w="1080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04"/>
        <w:gridCol w:w="9497"/>
      </w:tblGrid>
      <w:tr w:rsidR="00E80557" w:rsidRPr="007568CE" w:rsidTr="00E80557">
        <w:trPr>
          <w:trHeight w:val="113"/>
        </w:trPr>
        <w:tc>
          <w:tcPr>
            <w:tcW w:w="1304" w:type="dxa"/>
            <w:tcBorders>
              <w:top w:val="single" w:sz="4" w:space="0" w:color="auto"/>
              <w:left w:val="single" w:sz="4" w:space="0" w:color="auto"/>
              <w:bottom w:val="single" w:sz="4" w:space="0" w:color="auto"/>
              <w:right w:val="single" w:sz="4" w:space="0" w:color="auto"/>
            </w:tcBorders>
            <w:vAlign w:val="center"/>
          </w:tcPr>
          <w:p w:rsidR="00E80557" w:rsidRPr="007568CE" w:rsidRDefault="00E80557" w:rsidP="00CC2CD8">
            <w:pPr>
              <w:widowControl/>
              <w:spacing w:line="113" w:lineRule="atLeast"/>
              <w:ind w:left="48" w:right="48"/>
              <w:jc w:val="center"/>
              <w:rPr>
                <w:rFonts w:ascii="標楷體" w:eastAsia="標楷體" w:hAnsi="標楷體" w:cs="新細明體"/>
                <w:color w:val="333333"/>
                <w:kern w:val="0"/>
              </w:rPr>
            </w:pPr>
            <w:r w:rsidRPr="007568CE">
              <w:rPr>
                <w:rFonts w:ascii="標楷體" w:eastAsia="標楷體" w:hAnsi="標楷體" w:cs="新細明體" w:hint="eastAsia"/>
                <w:color w:val="000000"/>
                <w:kern w:val="0"/>
              </w:rPr>
              <w:t>範圍</w:t>
            </w:r>
            <w:r w:rsidRPr="007568CE">
              <w:rPr>
                <w:rFonts w:ascii="標楷體" w:eastAsia="標楷體" w:hAnsi="標楷體" w:cs="新細明體"/>
                <w:color w:val="000000"/>
                <w:kern w:val="0"/>
              </w:rPr>
              <w:t xml:space="preserve"> </w:t>
            </w:r>
          </w:p>
        </w:tc>
        <w:tc>
          <w:tcPr>
            <w:tcW w:w="9497" w:type="dxa"/>
            <w:tcBorders>
              <w:top w:val="single" w:sz="4" w:space="0" w:color="auto"/>
              <w:left w:val="single" w:sz="4" w:space="0" w:color="auto"/>
              <w:bottom w:val="single" w:sz="4" w:space="0" w:color="auto"/>
              <w:right w:val="single" w:sz="4" w:space="0" w:color="auto"/>
            </w:tcBorders>
            <w:vAlign w:val="center"/>
          </w:tcPr>
          <w:p w:rsidR="00E80557" w:rsidRPr="007568CE" w:rsidRDefault="00E80557" w:rsidP="00CC2CD8">
            <w:pPr>
              <w:widowControl/>
              <w:spacing w:line="113" w:lineRule="atLeast"/>
              <w:ind w:left="48" w:right="48"/>
              <w:jc w:val="center"/>
              <w:rPr>
                <w:rFonts w:ascii="標楷體" w:eastAsia="標楷體" w:hAnsi="標楷體" w:cs="新細明體"/>
                <w:color w:val="333333"/>
                <w:kern w:val="0"/>
              </w:rPr>
            </w:pPr>
            <w:r w:rsidRPr="007568CE">
              <w:rPr>
                <w:rFonts w:ascii="標楷體" w:eastAsia="標楷體" w:hAnsi="標楷體" w:cs="新細明體" w:hint="eastAsia"/>
                <w:color w:val="000000"/>
                <w:kern w:val="0"/>
              </w:rPr>
              <w:t>相關規定</w:t>
            </w:r>
          </w:p>
        </w:tc>
      </w:tr>
      <w:tr w:rsidR="00E80557" w:rsidRPr="007568CE" w:rsidTr="00690712">
        <w:trPr>
          <w:trHeight w:val="5398"/>
        </w:trPr>
        <w:tc>
          <w:tcPr>
            <w:tcW w:w="1304" w:type="dxa"/>
            <w:tcBorders>
              <w:top w:val="single" w:sz="4" w:space="0" w:color="auto"/>
              <w:left w:val="single" w:sz="4" w:space="0" w:color="auto"/>
              <w:bottom w:val="single" w:sz="4" w:space="0" w:color="auto"/>
              <w:right w:val="single" w:sz="4" w:space="0" w:color="auto"/>
            </w:tcBorders>
            <w:vAlign w:val="center"/>
          </w:tcPr>
          <w:p w:rsidR="00E80557" w:rsidRPr="00B14FA1" w:rsidRDefault="0081204A" w:rsidP="00CC2CD8">
            <w:pPr>
              <w:widowControl/>
              <w:spacing w:line="113" w:lineRule="atLeast"/>
              <w:ind w:left="48" w:right="48"/>
              <w:jc w:val="center"/>
              <w:rPr>
                <w:rFonts w:ascii="標楷體" w:eastAsia="標楷體" w:hAnsi="標楷體" w:cs="新細明體"/>
                <w:b/>
                <w:color w:val="FF0000"/>
                <w:kern w:val="0"/>
                <w:u w:val="single"/>
              </w:rPr>
            </w:pPr>
            <w:r w:rsidRPr="00B14FA1">
              <w:rPr>
                <w:rFonts w:ascii="標楷體" w:eastAsia="標楷體" w:hAnsi="標楷體" w:cs="新細明體" w:hint="eastAsia"/>
                <w:b/>
                <w:color w:val="FF0000"/>
                <w:kern w:val="0"/>
                <w:u w:val="single"/>
              </w:rPr>
              <w:t>學術研究</w:t>
            </w:r>
          </w:p>
        </w:tc>
        <w:tc>
          <w:tcPr>
            <w:tcW w:w="9497" w:type="dxa"/>
            <w:tcBorders>
              <w:top w:val="single" w:sz="4" w:space="0" w:color="auto"/>
              <w:left w:val="single" w:sz="4" w:space="0" w:color="auto"/>
              <w:bottom w:val="single" w:sz="4" w:space="0" w:color="auto"/>
              <w:right w:val="single" w:sz="4" w:space="0" w:color="auto"/>
            </w:tcBorders>
          </w:tcPr>
          <w:p w:rsidR="00E80557" w:rsidRPr="00C72853" w:rsidRDefault="00E80557" w:rsidP="00CC2CD8">
            <w:pPr>
              <w:pStyle w:val="Standard"/>
              <w:widowControl/>
              <w:ind w:leftChars="20" w:left="533" w:right="48" w:hangingChars="202" w:hanging="485"/>
              <w:jc w:val="both"/>
              <w:rPr>
                <w:rFonts w:ascii="標楷體" w:eastAsia="標楷體" w:hAnsi="標楷體" w:cs="華康標楷體"/>
                <w:color w:val="000000"/>
              </w:rPr>
            </w:pPr>
            <w:r w:rsidRPr="00C72853">
              <w:rPr>
                <w:rFonts w:ascii="標楷體" w:eastAsia="標楷體" w:hAnsi="標楷體" w:cs="華康標楷體" w:hint="eastAsia"/>
                <w:color w:val="000000"/>
              </w:rPr>
              <w:t>一、</w:t>
            </w:r>
            <w:r w:rsidRPr="00C72853">
              <w:rPr>
                <w:rFonts w:ascii="標楷體" w:eastAsia="標楷體" w:hAnsi="標楷體" w:hint="eastAsia"/>
              </w:rPr>
              <w:t>應自行擇定於取得前一等級教師資格後之</w:t>
            </w:r>
            <w:r w:rsidRPr="00C72853">
              <w:rPr>
                <w:rFonts w:ascii="標楷體" w:eastAsia="標楷體" w:hAnsi="標楷體" w:cs="華康標楷體" w:hint="eastAsia"/>
                <w:color w:val="000000"/>
              </w:rPr>
              <w:t>著作</w:t>
            </w:r>
            <w:r w:rsidR="003A24DA">
              <w:rPr>
                <w:rFonts w:ascii="標楷體" w:eastAsia="標楷體" w:hAnsi="標楷體" w:cs="華康標楷體" w:hint="eastAsia"/>
                <w:color w:val="000000"/>
              </w:rPr>
              <w:t>五</w:t>
            </w:r>
            <w:r w:rsidR="003A24DA" w:rsidRPr="003A24DA">
              <w:rPr>
                <w:rFonts w:ascii="標楷體" w:eastAsia="標楷體" w:hAnsi="標楷體" w:cs="華康標楷體" w:hint="eastAsia"/>
                <w:b/>
                <w:color w:val="FF0000"/>
                <w:u w:val="single"/>
              </w:rPr>
              <w:t>件</w:t>
            </w:r>
            <w:r w:rsidRPr="00C72853">
              <w:rPr>
                <w:rFonts w:ascii="標楷體" w:eastAsia="標楷體" w:hAnsi="標楷體" w:cs="華康標楷體" w:hint="eastAsia"/>
                <w:color w:val="000000"/>
              </w:rPr>
              <w:t>，並自行擇一為代表作，其餘列為參考作；其屬系列之相關研究者，得合併為代表作，惟著作總</w:t>
            </w:r>
            <w:r w:rsidR="003A24DA" w:rsidRPr="003A24DA">
              <w:rPr>
                <w:rFonts w:ascii="標楷體" w:eastAsia="標楷體" w:hAnsi="標楷體" w:cs="華康標楷體" w:hint="eastAsia"/>
                <w:b/>
                <w:color w:val="FF0000"/>
              </w:rPr>
              <w:t>件</w:t>
            </w:r>
            <w:r w:rsidRPr="00C72853">
              <w:rPr>
                <w:rFonts w:ascii="標楷體" w:eastAsia="標楷體" w:hAnsi="標楷體" w:cs="華康標楷體" w:hint="eastAsia"/>
                <w:color w:val="000000"/>
              </w:rPr>
              <w:t>數，仍依未合併前之</w:t>
            </w:r>
            <w:r w:rsidR="003A24DA" w:rsidRPr="003A24DA">
              <w:rPr>
                <w:rFonts w:ascii="標楷體" w:eastAsia="標楷體" w:hAnsi="標楷體" w:cs="華康標楷體" w:hint="eastAsia"/>
                <w:b/>
                <w:color w:val="FF0000"/>
                <w:u w:val="single"/>
              </w:rPr>
              <w:t>件</w:t>
            </w:r>
            <w:r w:rsidRPr="00C72853">
              <w:rPr>
                <w:rFonts w:ascii="標楷體" w:eastAsia="標楷體" w:hAnsi="標楷體" w:cs="華康標楷體" w:hint="eastAsia"/>
                <w:color w:val="000000"/>
              </w:rPr>
              <w:t>數計算，總計五</w:t>
            </w:r>
            <w:r w:rsidR="003A24DA" w:rsidRPr="003A24DA">
              <w:rPr>
                <w:rFonts w:ascii="標楷體" w:eastAsia="標楷體" w:hAnsi="標楷體" w:cs="華康標楷體" w:hint="eastAsia"/>
                <w:b/>
                <w:color w:val="FF0000"/>
                <w:u w:val="single"/>
              </w:rPr>
              <w:t>件</w:t>
            </w:r>
            <w:r w:rsidR="003A24DA">
              <w:rPr>
                <w:rFonts w:ascii="標楷體" w:eastAsia="標楷體" w:hAnsi="標楷體" w:cs="華康標楷體" w:hint="eastAsia"/>
                <w:b/>
                <w:color w:val="FF0000"/>
                <w:u w:val="single"/>
              </w:rPr>
              <w:t>為限</w:t>
            </w:r>
            <w:r w:rsidRPr="00C72853">
              <w:rPr>
                <w:rFonts w:ascii="標楷體" w:eastAsia="標楷體" w:hAnsi="標楷體" w:cs="華康標楷體" w:hint="eastAsia"/>
                <w:color w:val="000000"/>
              </w:rPr>
              <w:t>。擇定後之代表作及參考作皆須與任教科目性質相關，且為第一作者或通訊作者，應在國內外學術或專業刊物發表</w:t>
            </w:r>
            <w:r w:rsidR="003A24DA" w:rsidRPr="003A24DA">
              <w:rPr>
                <w:rFonts w:ascii="標楷體" w:eastAsia="標楷體" w:hAnsi="標楷體" w:cs="華康標楷體" w:hint="eastAsia"/>
                <w:b/>
                <w:color w:val="FF0000"/>
                <w:u w:val="single"/>
              </w:rPr>
              <w:t>或</w:t>
            </w:r>
            <w:r w:rsidRPr="00C72853">
              <w:rPr>
                <w:rFonts w:ascii="標楷體" w:eastAsia="標楷體" w:hAnsi="標楷體" w:cs="華康標楷體" w:hint="eastAsia"/>
                <w:color w:val="000000"/>
              </w:rPr>
              <w:t>具正式審查程序，並得公開及利用之電子期刊，或在國內外具有正式審查程序研討會發表</w:t>
            </w:r>
            <w:r w:rsidR="003A24DA" w:rsidRPr="003A24DA">
              <w:rPr>
                <w:rFonts w:ascii="標楷體" w:eastAsia="標楷體" w:hAnsi="標楷體" w:cs="華康標楷體" w:hint="eastAsia"/>
                <w:color w:val="FF0000"/>
                <w:u w:val="single"/>
              </w:rPr>
              <w:t>，</w:t>
            </w:r>
            <w:r w:rsidRPr="00C72853">
              <w:rPr>
                <w:rFonts w:ascii="標楷體" w:eastAsia="標楷體" w:hAnsi="標楷體" w:cs="華康標楷體" w:hint="eastAsia"/>
                <w:color w:val="000000"/>
              </w:rPr>
              <w:t>且集結成冊出版公開發行</w:t>
            </w:r>
            <w:r w:rsidR="003A24DA" w:rsidRPr="003A24DA">
              <w:rPr>
                <w:rFonts w:ascii="標楷體" w:eastAsia="標楷體" w:hAnsi="標楷體" w:cs="華康標楷體" w:hint="eastAsia"/>
                <w:b/>
                <w:color w:val="FF0000"/>
                <w:u w:val="single"/>
              </w:rPr>
              <w:t>、</w:t>
            </w:r>
            <w:r w:rsidR="003A24DA">
              <w:rPr>
                <w:rFonts w:ascii="標楷體" w:eastAsia="標楷體" w:hAnsi="標楷體" w:cs="華康標楷體" w:hint="eastAsia"/>
                <w:color w:val="000000"/>
              </w:rPr>
              <w:t>以光碟發行</w:t>
            </w:r>
            <w:r w:rsidR="003A24DA" w:rsidRPr="003A24DA">
              <w:rPr>
                <w:rFonts w:ascii="標楷體" w:eastAsia="標楷體" w:hAnsi="標楷體" w:cs="華康標楷體" w:hint="eastAsia"/>
                <w:b/>
                <w:color w:val="FF0000"/>
                <w:u w:val="single"/>
              </w:rPr>
              <w:t>或於網路公開發行</w:t>
            </w:r>
            <w:r w:rsidRPr="00C72853">
              <w:rPr>
                <w:rFonts w:ascii="標楷體" w:eastAsia="標楷體" w:hAnsi="標楷體" w:cs="華康標楷體" w:hint="eastAsia"/>
                <w:color w:val="000000"/>
              </w:rPr>
              <w:t>之著作，或</w:t>
            </w:r>
            <w:r w:rsidR="003A24DA" w:rsidRPr="003A24DA">
              <w:rPr>
                <w:rFonts w:ascii="標楷體" w:eastAsia="標楷體" w:hAnsi="標楷體" w:cs="華康標楷體" w:hint="eastAsia"/>
                <w:b/>
                <w:color w:val="FF0000"/>
                <w:u w:val="single"/>
              </w:rPr>
              <w:t>由具審查制度之出版單位已</w:t>
            </w:r>
            <w:r w:rsidRPr="00C72853">
              <w:rPr>
                <w:rFonts w:ascii="標楷體" w:eastAsia="標楷體" w:hAnsi="標楷體" w:cs="華康標楷體" w:hint="eastAsia"/>
                <w:color w:val="000000"/>
              </w:rPr>
              <w:t>出版公開發行之專書（需有ISBN或ISSN字號）。有關著作</w:t>
            </w:r>
            <w:r w:rsidR="003A24DA" w:rsidRPr="003A24DA">
              <w:rPr>
                <w:rFonts w:ascii="標楷體" w:eastAsia="標楷體" w:hAnsi="標楷體" w:cs="華康標楷體" w:hint="eastAsia"/>
                <w:b/>
                <w:color w:val="FF0000"/>
                <w:u w:val="single"/>
              </w:rPr>
              <w:t>件</w:t>
            </w:r>
            <w:r w:rsidRPr="00C72853">
              <w:rPr>
                <w:rFonts w:ascii="標楷體" w:eastAsia="標楷體" w:hAnsi="標楷體" w:cs="華康標楷體" w:hint="eastAsia"/>
                <w:color w:val="000000"/>
              </w:rPr>
              <w:t>數及等級之規定如下：</w:t>
            </w:r>
          </w:p>
          <w:p w:rsidR="00E80557" w:rsidRPr="00C72853" w:rsidRDefault="00E80557" w:rsidP="00CC2CD8">
            <w:pPr>
              <w:pStyle w:val="Standard"/>
              <w:widowControl/>
              <w:ind w:left="674" w:right="48" w:hangingChars="281" w:hanging="674"/>
              <w:jc w:val="both"/>
              <w:rPr>
                <w:rFonts w:ascii="標楷體" w:eastAsia="標楷體" w:hAnsi="標楷體" w:cs="華康標楷體"/>
                <w:color w:val="000000"/>
              </w:rPr>
            </w:pPr>
            <w:r w:rsidRPr="00C72853">
              <w:rPr>
                <w:rFonts w:ascii="標楷體" w:eastAsia="標楷體" w:hAnsi="標楷體" w:cs="華康標楷體" w:hint="eastAsia"/>
                <w:color w:val="000000"/>
              </w:rPr>
              <w:t>（一）升等教授職級：代表作及至少一</w:t>
            </w:r>
            <w:r w:rsidR="00D82529" w:rsidRPr="00D82529">
              <w:rPr>
                <w:rFonts w:ascii="標楷體" w:eastAsia="標楷體" w:hAnsi="標楷體" w:cs="華康標楷體" w:hint="eastAsia"/>
                <w:b/>
                <w:color w:val="FF0000"/>
                <w:u w:val="single"/>
              </w:rPr>
              <w:t>件</w:t>
            </w:r>
            <w:r w:rsidRPr="00C72853">
              <w:rPr>
                <w:rFonts w:ascii="標楷體" w:eastAsia="標楷體" w:hAnsi="標楷體" w:cs="華康標楷體" w:hint="eastAsia"/>
                <w:color w:val="000000"/>
              </w:rPr>
              <w:t>參考作應為該院期刊分類等級一級之著作。</w:t>
            </w:r>
          </w:p>
          <w:p w:rsidR="00014DA7" w:rsidRPr="00C72853" w:rsidRDefault="00E80557" w:rsidP="00014DA7">
            <w:pPr>
              <w:pStyle w:val="Standard"/>
              <w:widowControl/>
              <w:ind w:left="674" w:right="48" w:hangingChars="281" w:hanging="674"/>
              <w:jc w:val="both"/>
              <w:rPr>
                <w:rFonts w:ascii="標楷體" w:eastAsia="標楷體" w:hAnsi="標楷體" w:cs="華康標楷體"/>
              </w:rPr>
            </w:pPr>
            <w:r w:rsidRPr="00C72853">
              <w:rPr>
                <w:rFonts w:ascii="標楷體" w:eastAsia="標楷體" w:hAnsi="標楷體" w:cs="華康標楷體" w:hint="eastAsia"/>
                <w:color w:val="000000"/>
              </w:rPr>
              <w:t>（二</w:t>
            </w:r>
            <w:r w:rsidRPr="00C72853">
              <w:rPr>
                <w:rFonts w:ascii="標楷體" w:eastAsia="標楷體" w:hAnsi="標楷體" w:cs="華康標楷體"/>
                <w:color w:val="000000"/>
              </w:rPr>
              <w:t>）</w:t>
            </w:r>
            <w:r w:rsidRPr="00C72853">
              <w:rPr>
                <w:rFonts w:ascii="標楷體" w:eastAsia="標楷體" w:hAnsi="標楷體" w:cs="華康標楷體" w:hint="eastAsia"/>
              </w:rPr>
              <w:t>升等</w:t>
            </w:r>
            <w:r w:rsidR="00C93695" w:rsidRPr="00C72853">
              <w:rPr>
                <w:rFonts w:ascii="標楷體" w:eastAsia="標楷體" w:hAnsi="標楷體" w:cs="華康標楷體" w:hint="eastAsia"/>
                <w:lang w:eastAsia="zh-HK"/>
              </w:rPr>
              <w:t>助理教授及</w:t>
            </w:r>
            <w:r w:rsidR="00C93695" w:rsidRPr="00C72853">
              <w:rPr>
                <w:rFonts w:ascii="標楷體" w:eastAsia="標楷體" w:hAnsi="標楷體" w:cs="華康標楷體" w:hint="eastAsia"/>
              </w:rPr>
              <w:t>副教授：</w:t>
            </w:r>
            <w:r w:rsidRPr="00C72853">
              <w:rPr>
                <w:rFonts w:ascii="標楷體" w:eastAsia="標楷體" w:hAnsi="標楷體" w:cs="華康標楷體" w:hint="eastAsia"/>
              </w:rPr>
              <w:t>代表作應為該院期刊分類等級一級之著作。</w:t>
            </w:r>
            <w:r w:rsidR="00014DA7" w:rsidRPr="00C72853">
              <w:rPr>
                <w:rFonts w:ascii="標楷體" w:eastAsia="標楷體" w:hAnsi="標楷體" w:cs="華康標楷體" w:hint="eastAsia"/>
                <w:lang w:eastAsia="zh-HK"/>
              </w:rPr>
              <w:t>舊制講師升等助理教授或副教授</w:t>
            </w:r>
            <w:r w:rsidR="00014DA7" w:rsidRPr="00C72853">
              <w:rPr>
                <w:rFonts w:ascii="標楷體" w:eastAsia="標楷體" w:hAnsi="標楷體" w:cs="華康標楷體" w:hint="eastAsia"/>
              </w:rPr>
              <w:t>，</w:t>
            </w:r>
            <w:r w:rsidR="00014DA7" w:rsidRPr="00C72853">
              <w:rPr>
                <w:rFonts w:ascii="標楷體" w:eastAsia="標楷體" w:hAnsi="標楷體" w:cs="華康標楷體" w:hint="eastAsia"/>
                <w:lang w:eastAsia="zh-HK"/>
              </w:rPr>
              <w:t>得以學位論文作為升等之代表作</w:t>
            </w:r>
            <w:r w:rsidR="00014DA7" w:rsidRPr="00C72853">
              <w:rPr>
                <w:rFonts w:ascii="標楷體" w:eastAsia="標楷體" w:hAnsi="標楷體" w:cs="華康標楷體" w:hint="eastAsia"/>
              </w:rPr>
              <w:t>。</w:t>
            </w:r>
          </w:p>
          <w:p w:rsidR="00014DA7" w:rsidRPr="00C72853" w:rsidRDefault="00014DA7" w:rsidP="00014DA7">
            <w:pPr>
              <w:pStyle w:val="Standard"/>
              <w:widowControl/>
              <w:ind w:left="538" w:right="48" w:hangingChars="224" w:hanging="538"/>
              <w:jc w:val="both"/>
              <w:rPr>
                <w:rFonts w:ascii="標楷體" w:eastAsia="標楷體" w:hAnsi="標楷體" w:cs="華康標楷體"/>
                <w:lang w:eastAsia="zh-HK"/>
              </w:rPr>
            </w:pPr>
            <w:r w:rsidRPr="00C72853">
              <w:rPr>
                <w:rFonts w:ascii="標楷體" w:eastAsia="標楷體" w:hAnsi="標楷體" w:cs="華康標楷體" w:hint="eastAsia"/>
                <w:lang w:eastAsia="zh-HK"/>
              </w:rPr>
              <w:t>二</w:t>
            </w:r>
            <w:r w:rsidRPr="00C72853">
              <w:rPr>
                <w:rFonts w:ascii="標楷體" w:eastAsia="標楷體" w:hAnsi="標楷體" w:cs="華康標楷體" w:hint="eastAsia"/>
              </w:rPr>
              <w:t>、</w:t>
            </w:r>
            <w:r w:rsidRPr="00C72853">
              <w:rPr>
                <w:rFonts w:ascii="標楷體" w:eastAsia="標楷體" w:hAnsi="標楷體" w:cs="華康標楷體" w:hint="eastAsia"/>
                <w:lang w:eastAsia="zh-HK"/>
              </w:rPr>
              <w:t>舊制助教升等講師</w:t>
            </w:r>
            <w:r w:rsidRPr="00C72853">
              <w:rPr>
                <w:rFonts w:ascii="標楷體" w:eastAsia="標楷體" w:hAnsi="標楷體" w:cs="華康標楷體" w:hint="eastAsia"/>
              </w:rPr>
              <w:t>，</w:t>
            </w:r>
            <w:r w:rsidRPr="00C72853">
              <w:rPr>
                <w:rFonts w:ascii="標楷體" w:eastAsia="標楷體" w:hAnsi="標楷體" w:cs="華康標楷體" w:hint="eastAsia"/>
                <w:lang w:eastAsia="zh-HK"/>
              </w:rPr>
              <w:t>除送審著作</w:t>
            </w:r>
            <w:r w:rsidR="003A24DA" w:rsidRPr="003A24DA">
              <w:rPr>
                <w:rFonts w:ascii="標楷體" w:eastAsia="標楷體" w:hAnsi="標楷體" w:cs="華康標楷體" w:hint="eastAsia"/>
                <w:b/>
                <w:color w:val="FF0000"/>
                <w:u w:val="single"/>
              </w:rPr>
              <w:t>件</w:t>
            </w:r>
            <w:r w:rsidRPr="00C72853">
              <w:rPr>
                <w:rFonts w:ascii="標楷體" w:eastAsia="標楷體" w:hAnsi="標楷體" w:cs="華康標楷體" w:hint="eastAsia"/>
                <w:lang w:eastAsia="zh-HK"/>
              </w:rPr>
              <w:t>數總計為二</w:t>
            </w:r>
            <w:r w:rsidR="003A24DA" w:rsidRPr="003A24DA">
              <w:rPr>
                <w:rFonts w:ascii="標楷體" w:eastAsia="標楷體" w:hAnsi="標楷體" w:cs="華康標楷體" w:hint="eastAsia"/>
                <w:b/>
                <w:color w:val="FF0000"/>
                <w:u w:val="single"/>
              </w:rPr>
              <w:t>件</w:t>
            </w:r>
            <w:r w:rsidRPr="00C72853">
              <w:rPr>
                <w:rFonts w:ascii="標楷體" w:eastAsia="標楷體" w:hAnsi="標楷體" w:cs="華康標楷體" w:hint="eastAsia"/>
              </w:rPr>
              <w:t>（</w:t>
            </w:r>
            <w:r w:rsidRPr="00C72853">
              <w:rPr>
                <w:rFonts w:ascii="標楷體" w:eastAsia="標楷體" w:hAnsi="標楷體" w:cs="華康標楷體" w:hint="eastAsia"/>
                <w:lang w:eastAsia="zh-HK"/>
              </w:rPr>
              <w:t>含學位論文</w:t>
            </w:r>
            <w:r w:rsidRPr="00C72853">
              <w:rPr>
                <w:rFonts w:ascii="標楷體" w:eastAsia="標楷體" w:hAnsi="標楷體" w:cs="華康標楷體" w:hint="eastAsia"/>
              </w:rPr>
              <w:t>），</w:t>
            </w:r>
            <w:r w:rsidRPr="00C72853">
              <w:rPr>
                <w:rFonts w:ascii="標楷體" w:eastAsia="標楷體" w:hAnsi="標楷體" w:cs="華康標楷體" w:hint="eastAsia"/>
                <w:lang w:eastAsia="zh-HK"/>
              </w:rPr>
              <w:t>餘均比照前述規定辦理</w:t>
            </w:r>
            <w:r w:rsidRPr="00C72853">
              <w:rPr>
                <w:rFonts w:ascii="標楷體" w:eastAsia="標楷體" w:hAnsi="標楷體" w:cs="華康標楷體" w:hint="eastAsia"/>
              </w:rPr>
              <w:t>。</w:t>
            </w:r>
          </w:p>
          <w:p w:rsidR="00E80557" w:rsidRPr="00C72853" w:rsidRDefault="00E80557" w:rsidP="003A24DA">
            <w:pPr>
              <w:ind w:leftChars="15" w:left="533" w:hangingChars="207" w:hanging="497"/>
              <w:jc w:val="both"/>
              <w:rPr>
                <w:rFonts w:ascii="標楷體" w:eastAsia="標楷體" w:hAnsi="標楷體" w:cs="新細明體"/>
                <w:color w:val="000000"/>
                <w:kern w:val="0"/>
              </w:rPr>
            </w:pPr>
            <w:r w:rsidRPr="00C72853">
              <w:rPr>
                <w:rFonts w:ascii="標楷體" w:eastAsia="標楷體" w:hAnsi="標楷體" w:hint="eastAsia"/>
                <w:lang w:eastAsia="zh-HK"/>
              </w:rPr>
              <w:t>三</w:t>
            </w:r>
            <w:r w:rsidRPr="00C72853">
              <w:rPr>
                <w:rFonts w:ascii="標楷體" w:eastAsia="標楷體" w:hAnsi="標楷體" w:hint="eastAsia"/>
              </w:rPr>
              <w:t>、</w:t>
            </w:r>
            <w:r w:rsidRPr="00C72853">
              <w:rPr>
                <w:rFonts w:ascii="標楷體" w:eastAsia="標楷體" w:hAnsi="標楷體" w:hint="eastAsia"/>
                <w:color w:val="000000"/>
              </w:rPr>
              <w:t>代表作於升等申請截止日前</w:t>
            </w:r>
            <w:r w:rsidR="003A24DA" w:rsidRPr="003A24DA">
              <w:rPr>
                <w:rFonts w:ascii="標楷體" w:eastAsia="標楷體" w:hAnsi="標楷體" w:hint="eastAsia"/>
                <w:b/>
                <w:color w:val="FF0000"/>
                <w:u w:val="single"/>
              </w:rPr>
              <w:t>，應</w:t>
            </w:r>
            <w:r w:rsidR="00D82529" w:rsidRPr="00D82529">
              <w:rPr>
                <w:rFonts w:ascii="標楷體" w:eastAsia="標楷體" w:hAnsi="標楷體" w:hint="eastAsia"/>
                <w:b/>
                <w:color w:val="FF0000"/>
                <w:u w:val="single"/>
              </w:rPr>
              <w:t>由具審查制度之出版單位已出版公開發行之專書</w:t>
            </w:r>
            <w:r w:rsidR="00D82529">
              <w:rPr>
                <w:rFonts w:ascii="標楷體" w:eastAsia="標楷體" w:hAnsi="標楷體" w:hint="eastAsia"/>
                <w:b/>
                <w:color w:val="FF0000"/>
                <w:u w:val="single"/>
              </w:rPr>
              <w:t>或</w:t>
            </w:r>
            <w:r w:rsidR="003A24DA" w:rsidRPr="003A24DA">
              <w:rPr>
                <w:rFonts w:ascii="標楷體" w:eastAsia="標楷體" w:hAnsi="標楷體" w:hint="eastAsia"/>
                <w:b/>
                <w:color w:val="FF0000"/>
                <w:u w:val="single"/>
              </w:rPr>
              <w:t>為具正式審查程序之國內外學術或專業刊物已公開發表者或為具正式審查程序，並得公開及利用之電子期刊；</w:t>
            </w:r>
            <w:r w:rsidRPr="00C72853">
              <w:rPr>
                <w:rFonts w:ascii="標楷體" w:eastAsia="標楷體" w:hAnsi="標楷體" w:hint="eastAsia"/>
                <w:color w:val="000000"/>
              </w:rPr>
              <w:t>參考作得為出具將定期發表之</w:t>
            </w:r>
            <w:r w:rsidRPr="00C72853">
              <w:rPr>
                <w:rFonts w:ascii="標楷體" w:eastAsia="標楷體" w:hAnsi="標楷體"/>
                <w:color w:val="000000"/>
              </w:rPr>
              <w:t>國內外學術或專業刊物（含具正式審查程序，並得公開及利用之電子期刊）</w:t>
            </w:r>
            <w:r w:rsidRPr="00C72853">
              <w:rPr>
                <w:rFonts w:ascii="標楷體" w:eastAsia="標楷體" w:hAnsi="標楷體" w:hint="eastAsia"/>
                <w:color w:val="000000"/>
              </w:rPr>
              <w:t>。</w:t>
            </w:r>
          </w:p>
        </w:tc>
      </w:tr>
    </w:tbl>
    <w:p w:rsidR="00E80557" w:rsidRPr="00860FBD" w:rsidRDefault="00E80557" w:rsidP="00E80557">
      <w:pPr>
        <w:rPr>
          <w:rFonts w:ascii="標楷體" w:eastAsia="標楷體" w:hAnsi="標楷體"/>
        </w:rPr>
      </w:pPr>
    </w:p>
    <w:p w:rsidR="001E2D5D" w:rsidRPr="00E80557" w:rsidRDefault="001E2D5D">
      <w:pPr>
        <w:rPr>
          <w:rFonts w:ascii="標楷體" w:eastAsia="標楷體" w:hAnsi="標楷體"/>
        </w:rPr>
      </w:pPr>
    </w:p>
    <w:sectPr w:rsidR="001E2D5D" w:rsidRPr="00E80557" w:rsidSect="00322C7B">
      <w:pgSz w:w="11906" w:h="16838"/>
      <w:pgMar w:top="1276" w:right="566" w:bottom="127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90" w:rsidRDefault="00B82990" w:rsidP="00AA7323">
      <w:r>
        <w:separator/>
      </w:r>
    </w:p>
  </w:endnote>
  <w:endnote w:type="continuationSeparator" w:id="0">
    <w:p w:rsidR="00B82990" w:rsidRDefault="00B82990" w:rsidP="00AA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華康標楷體">
    <w:charset w:val="88"/>
    <w:family w:val="script"/>
    <w:pitch w:val="fixed"/>
    <w:sig w:usb0="80000001" w:usb1="28091800" w:usb2="00000016" w:usb3="00000000" w:csb0="001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90" w:rsidRDefault="00B82990" w:rsidP="00AA7323">
      <w:r>
        <w:separator/>
      </w:r>
    </w:p>
  </w:footnote>
  <w:footnote w:type="continuationSeparator" w:id="0">
    <w:p w:rsidR="00B82990" w:rsidRDefault="00B82990" w:rsidP="00AA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E2B9D"/>
    <w:multiLevelType w:val="hybridMultilevel"/>
    <w:tmpl w:val="541E6E5A"/>
    <w:lvl w:ilvl="0" w:tplc="A6A0D754">
      <w:start w:val="1"/>
      <w:numFmt w:val="taiwaneseCountingThousand"/>
      <w:lvlText w:val="%1、"/>
      <w:lvlJc w:val="left"/>
      <w:pPr>
        <w:ind w:left="456" w:hanging="408"/>
      </w:pPr>
      <w:rPr>
        <w:rFonts w:ascii="新細明體" w:eastAsia="新細明體" w:hAnsi="新細明體" w:cs="華康標楷體" w:hint="default"/>
        <w:color w:val="000000"/>
        <w:sz w:val="20"/>
        <w:u w:val="none"/>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056"/>
    <w:rsid w:val="00004472"/>
    <w:rsid w:val="00014DA7"/>
    <w:rsid w:val="00030788"/>
    <w:rsid w:val="000324D3"/>
    <w:rsid w:val="00033628"/>
    <w:rsid w:val="00053F34"/>
    <w:rsid w:val="000939C2"/>
    <w:rsid w:val="000B4B23"/>
    <w:rsid w:val="000C7946"/>
    <w:rsid w:val="000D05C6"/>
    <w:rsid w:val="000D3297"/>
    <w:rsid w:val="000F2D7E"/>
    <w:rsid w:val="000F7FF1"/>
    <w:rsid w:val="0013501C"/>
    <w:rsid w:val="001462B3"/>
    <w:rsid w:val="00146415"/>
    <w:rsid w:val="001677AC"/>
    <w:rsid w:val="001E1E0D"/>
    <w:rsid w:val="001E2D5D"/>
    <w:rsid w:val="00251DF6"/>
    <w:rsid w:val="00275D01"/>
    <w:rsid w:val="00283AAC"/>
    <w:rsid w:val="002E16B3"/>
    <w:rsid w:val="002F4D8C"/>
    <w:rsid w:val="00303572"/>
    <w:rsid w:val="00322C7B"/>
    <w:rsid w:val="00325D46"/>
    <w:rsid w:val="00336839"/>
    <w:rsid w:val="00356300"/>
    <w:rsid w:val="00387E7A"/>
    <w:rsid w:val="003A24DA"/>
    <w:rsid w:val="003B7E80"/>
    <w:rsid w:val="003E672B"/>
    <w:rsid w:val="00414E7C"/>
    <w:rsid w:val="00425608"/>
    <w:rsid w:val="00446F91"/>
    <w:rsid w:val="004974E8"/>
    <w:rsid w:val="004B675D"/>
    <w:rsid w:val="004C4085"/>
    <w:rsid w:val="004C5018"/>
    <w:rsid w:val="004D5ABA"/>
    <w:rsid w:val="004D77F1"/>
    <w:rsid w:val="00511572"/>
    <w:rsid w:val="00526856"/>
    <w:rsid w:val="005402CD"/>
    <w:rsid w:val="00550A3F"/>
    <w:rsid w:val="00561908"/>
    <w:rsid w:val="00572B22"/>
    <w:rsid w:val="00580A90"/>
    <w:rsid w:val="005B2985"/>
    <w:rsid w:val="0060378D"/>
    <w:rsid w:val="00604125"/>
    <w:rsid w:val="00611ADE"/>
    <w:rsid w:val="00631D3E"/>
    <w:rsid w:val="00656F5D"/>
    <w:rsid w:val="00690712"/>
    <w:rsid w:val="006E3383"/>
    <w:rsid w:val="006E5962"/>
    <w:rsid w:val="00731056"/>
    <w:rsid w:val="00745170"/>
    <w:rsid w:val="007568CE"/>
    <w:rsid w:val="007659D8"/>
    <w:rsid w:val="00772652"/>
    <w:rsid w:val="00782A36"/>
    <w:rsid w:val="007878DD"/>
    <w:rsid w:val="007D0C03"/>
    <w:rsid w:val="007E5866"/>
    <w:rsid w:val="007E6852"/>
    <w:rsid w:val="0081204A"/>
    <w:rsid w:val="00813A4D"/>
    <w:rsid w:val="008253EF"/>
    <w:rsid w:val="00851DE7"/>
    <w:rsid w:val="00860FBD"/>
    <w:rsid w:val="00865BC6"/>
    <w:rsid w:val="0087160C"/>
    <w:rsid w:val="00876056"/>
    <w:rsid w:val="008778BF"/>
    <w:rsid w:val="00884B91"/>
    <w:rsid w:val="008B758C"/>
    <w:rsid w:val="009546F9"/>
    <w:rsid w:val="00957DC9"/>
    <w:rsid w:val="009639A7"/>
    <w:rsid w:val="00976048"/>
    <w:rsid w:val="009A6C2A"/>
    <w:rsid w:val="009C51E8"/>
    <w:rsid w:val="009D16A0"/>
    <w:rsid w:val="009E075B"/>
    <w:rsid w:val="009F0077"/>
    <w:rsid w:val="00A0479B"/>
    <w:rsid w:val="00A238B4"/>
    <w:rsid w:val="00A31EB1"/>
    <w:rsid w:val="00A33716"/>
    <w:rsid w:val="00A42D6B"/>
    <w:rsid w:val="00A64EFC"/>
    <w:rsid w:val="00A72F07"/>
    <w:rsid w:val="00A8728C"/>
    <w:rsid w:val="00A9097D"/>
    <w:rsid w:val="00A95DFF"/>
    <w:rsid w:val="00A96090"/>
    <w:rsid w:val="00AA7323"/>
    <w:rsid w:val="00AC3E3B"/>
    <w:rsid w:val="00AD7FEE"/>
    <w:rsid w:val="00AE19B0"/>
    <w:rsid w:val="00AE1B53"/>
    <w:rsid w:val="00AF6A06"/>
    <w:rsid w:val="00B14FA1"/>
    <w:rsid w:val="00B82990"/>
    <w:rsid w:val="00BB0F41"/>
    <w:rsid w:val="00BB2C33"/>
    <w:rsid w:val="00BB5977"/>
    <w:rsid w:val="00C01600"/>
    <w:rsid w:val="00C176AA"/>
    <w:rsid w:val="00C24399"/>
    <w:rsid w:val="00C56D72"/>
    <w:rsid w:val="00C72853"/>
    <w:rsid w:val="00C811DA"/>
    <w:rsid w:val="00C93695"/>
    <w:rsid w:val="00CC2CD8"/>
    <w:rsid w:val="00CE5799"/>
    <w:rsid w:val="00CF7FE2"/>
    <w:rsid w:val="00D037A1"/>
    <w:rsid w:val="00D20C19"/>
    <w:rsid w:val="00D72DA7"/>
    <w:rsid w:val="00D82529"/>
    <w:rsid w:val="00D86723"/>
    <w:rsid w:val="00DA6606"/>
    <w:rsid w:val="00DC2F93"/>
    <w:rsid w:val="00DD7F1F"/>
    <w:rsid w:val="00DE2C95"/>
    <w:rsid w:val="00DF02C2"/>
    <w:rsid w:val="00DF42EA"/>
    <w:rsid w:val="00E05F85"/>
    <w:rsid w:val="00E070C3"/>
    <w:rsid w:val="00E80557"/>
    <w:rsid w:val="00E900EB"/>
    <w:rsid w:val="00EC1314"/>
    <w:rsid w:val="00F1034F"/>
    <w:rsid w:val="00F15512"/>
    <w:rsid w:val="00F567BD"/>
    <w:rsid w:val="00F82558"/>
    <w:rsid w:val="00FA1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ACBA7"/>
  <w15:docId w15:val="{75DA732C-157A-455E-85DF-E0DFBA3C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731056"/>
    <w:pPr>
      <w:widowControl/>
      <w:spacing w:before="100" w:beforeAutospacing="1" w:after="100" w:afterAutospacing="1"/>
    </w:pPr>
    <w:rPr>
      <w:rFonts w:ascii="新細明體" w:hAnsi="新細明體" w:cs="新細明體"/>
      <w:kern w:val="0"/>
    </w:rPr>
  </w:style>
  <w:style w:type="paragraph" w:customStyle="1" w:styleId="045-2">
    <w:name w:val="045-2"/>
    <w:basedOn w:val="a"/>
    <w:rsid w:val="00731056"/>
    <w:pPr>
      <w:widowControl/>
      <w:spacing w:before="100" w:beforeAutospacing="1" w:after="100" w:afterAutospacing="1"/>
    </w:pPr>
    <w:rPr>
      <w:rFonts w:ascii="新細明體" w:hAnsi="新細明體" w:cs="新細明體"/>
      <w:kern w:val="0"/>
    </w:rPr>
  </w:style>
  <w:style w:type="paragraph" w:customStyle="1" w:styleId="044-1">
    <w:name w:val="044-1"/>
    <w:basedOn w:val="a"/>
    <w:rsid w:val="00731056"/>
    <w:pPr>
      <w:widowControl/>
      <w:spacing w:before="100" w:beforeAutospacing="1" w:after="100" w:afterAutospacing="1"/>
    </w:pPr>
    <w:rPr>
      <w:rFonts w:ascii="新細明體" w:hAnsi="新細明體" w:cs="新細明體"/>
      <w:kern w:val="0"/>
    </w:rPr>
  </w:style>
  <w:style w:type="paragraph" w:customStyle="1" w:styleId="042-">
    <w:name w:val="042-"/>
    <w:basedOn w:val="a"/>
    <w:rsid w:val="00731056"/>
    <w:pPr>
      <w:widowControl/>
      <w:spacing w:before="100" w:beforeAutospacing="1" w:after="100" w:afterAutospacing="1"/>
    </w:pPr>
    <w:rPr>
      <w:rFonts w:ascii="新細明體" w:hAnsi="新細明體" w:cs="新細明體"/>
      <w:kern w:val="0"/>
    </w:rPr>
  </w:style>
  <w:style w:type="paragraph" w:customStyle="1" w:styleId="042-0">
    <w:name w:val="042-0"/>
    <w:basedOn w:val="a"/>
    <w:rsid w:val="00731056"/>
    <w:pPr>
      <w:widowControl/>
      <w:spacing w:before="100" w:beforeAutospacing="1" w:after="100" w:afterAutospacing="1"/>
    </w:pPr>
    <w:rPr>
      <w:rFonts w:ascii="新細明體" w:hAnsi="新細明體" w:cs="新細明體"/>
      <w:kern w:val="0"/>
    </w:rPr>
  </w:style>
  <w:style w:type="paragraph" w:customStyle="1" w:styleId="013">
    <w:name w:val="013"/>
    <w:basedOn w:val="a"/>
    <w:rsid w:val="00731056"/>
    <w:pPr>
      <w:widowControl/>
      <w:spacing w:before="100" w:beforeAutospacing="1" w:after="100" w:afterAutospacing="1"/>
    </w:pPr>
    <w:rPr>
      <w:rFonts w:ascii="新細明體" w:hAnsi="新細明體" w:cs="新細明體"/>
      <w:kern w:val="0"/>
    </w:rPr>
  </w:style>
  <w:style w:type="paragraph" w:styleId="a3">
    <w:name w:val="Balloon Text"/>
    <w:basedOn w:val="a"/>
    <w:link w:val="a4"/>
    <w:rsid w:val="006E5962"/>
    <w:rPr>
      <w:rFonts w:ascii="Cambria" w:hAnsi="Cambria"/>
      <w:sz w:val="18"/>
      <w:szCs w:val="18"/>
    </w:rPr>
  </w:style>
  <w:style w:type="character" w:customStyle="1" w:styleId="a4">
    <w:name w:val="註解方塊文字 字元"/>
    <w:link w:val="a3"/>
    <w:rsid w:val="006E5962"/>
    <w:rPr>
      <w:rFonts w:ascii="Cambria" w:eastAsia="新細明體" w:hAnsi="Cambria" w:cs="Times New Roman"/>
      <w:kern w:val="2"/>
      <w:sz w:val="18"/>
      <w:szCs w:val="18"/>
    </w:rPr>
  </w:style>
  <w:style w:type="paragraph" w:styleId="a5">
    <w:name w:val="header"/>
    <w:basedOn w:val="a"/>
    <w:link w:val="a6"/>
    <w:rsid w:val="00AA7323"/>
    <w:pPr>
      <w:tabs>
        <w:tab w:val="center" w:pos="4153"/>
        <w:tab w:val="right" w:pos="8306"/>
      </w:tabs>
      <w:snapToGrid w:val="0"/>
    </w:pPr>
    <w:rPr>
      <w:sz w:val="20"/>
      <w:szCs w:val="20"/>
    </w:rPr>
  </w:style>
  <w:style w:type="character" w:customStyle="1" w:styleId="a6">
    <w:name w:val="頁首 字元"/>
    <w:link w:val="a5"/>
    <w:rsid w:val="00AA7323"/>
    <w:rPr>
      <w:kern w:val="2"/>
    </w:rPr>
  </w:style>
  <w:style w:type="paragraph" w:styleId="a7">
    <w:name w:val="footer"/>
    <w:basedOn w:val="a"/>
    <w:link w:val="a8"/>
    <w:rsid w:val="00AA7323"/>
    <w:pPr>
      <w:tabs>
        <w:tab w:val="center" w:pos="4153"/>
        <w:tab w:val="right" w:pos="8306"/>
      </w:tabs>
      <w:snapToGrid w:val="0"/>
    </w:pPr>
    <w:rPr>
      <w:sz w:val="20"/>
      <w:szCs w:val="20"/>
    </w:rPr>
  </w:style>
  <w:style w:type="character" w:customStyle="1" w:styleId="a8">
    <w:name w:val="頁尾 字元"/>
    <w:link w:val="a7"/>
    <w:rsid w:val="00AA7323"/>
    <w:rPr>
      <w:kern w:val="2"/>
    </w:rPr>
  </w:style>
  <w:style w:type="paragraph" w:customStyle="1" w:styleId="Standard">
    <w:name w:val="Standard"/>
    <w:rsid w:val="001E1E0D"/>
    <w:pPr>
      <w:widowControl w:val="0"/>
      <w:suppressAutoHyphens/>
      <w:autoSpaceDN w:val="0"/>
      <w:textAlignment w:val="baseline"/>
    </w:pPr>
    <w:rPr>
      <w:rFonts w:ascii="Calibri" w:hAnsi="Calibri"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F9E119-360E-45A1-89AC-4A690A04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Words>
  <Characters>613</Characters>
  <Application>Microsoft Office Word</Application>
  <DocSecurity>0</DocSecurity>
  <Lines>5</Lines>
  <Paragraphs>1</Paragraphs>
  <ScaleCrop>false</ScaleCrop>
  <Company>CMT</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lex</dc:creator>
  <cp:keywords/>
  <cp:lastModifiedBy>USER</cp:lastModifiedBy>
  <cp:revision>16</cp:revision>
  <cp:lastPrinted>2022-11-07T11:37:00Z</cp:lastPrinted>
  <dcterms:created xsi:type="dcterms:W3CDTF">2018-04-10T03:33:00Z</dcterms:created>
  <dcterms:modified xsi:type="dcterms:W3CDTF">2023-01-07T06:05:00Z</dcterms:modified>
</cp:coreProperties>
</file>