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5" w:rsidRDefault="00722495" w:rsidP="00722495">
      <w:pPr>
        <w:spacing w:line="480" w:lineRule="exact"/>
        <w:jc w:val="center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嘉義縣</w:t>
      </w:r>
      <w:proofErr w:type="gramStart"/>
      <w:r>
        <w:rPr>
          <w:rFonts w:ascii="標楷體" w:eastAsia="標楷體" w:hAnsi="標楷體" w:hint="eastAsia"/>
          <w:color w:val="0D0D0D"/>
          <w:sz w:val="28"/>
        </w:rPr>
        <w:t>105</w:t>
      </w:r>
      <w:proofErr w:type="gramEnd"/>
      <w:r>
        <w:rPr>
          <w:rFonts w:ascii="標楷體" w:eastAsia="標楷體" w:hAnsi="標楷體" w:hint="eastAsia"/>
          <w:color w:val="0D0D0D"/>
          <w:sz w:val="28"/>
        </w:rPr>
        <w:t>年度-婚姻教育</w:t>
      </w:r>
    </w:p>
    <w:p w:rsidR="00375ED8" w:rsidRPr="006B73DA" w:rsidRDefault="00722495" w:rsidP="00722495">
      <w:pPr>
        <w:spacing w:line="480" w:lineRule="exact"/>
        <w:jc w:val="center"/>
        <w:rPr>
          <w:rFonts w:ascii="標楷體" w:eastAsia="標楷體" w:hAnsi="標楷體"/>
          <w:color w:val="0D0D0D"/>
          <w:sz w:val="28"/>
        </w:rPr>
      </w:pPr>
      <w:r w:rsidRPr="006B73DA">
        <w:rPr>
          <w:rFonts w:ascii="標楷體" w:eastAsia="標楷體" w:hAnsi="標楷體" w:hint="eastAsia"/>
          <w:color w:val="0D0D0D"/>
          <w:sz w:val="28"/>
        </w:rPr>
        <w:t>2-4-2「牽手</w:t>
      </w:r>
      <w:proofErr w:type="gramStart"/>
      <w:r w:rsidRPr="006B73DA">
        <w:rPr>
          <w:rFonts w:ascii="標楷體" w:eastAsia="標楷體" w:hAnsi="標楷體" w:hint="eastAsia"/>
          <w:color w:val="0D0D0D"/>
          <w:sz w:val="28"/>
        </w:rPr>
        <w:t>逗陣行</w:t>
      </w:r>
      <w:proofErr w:type="gramEnd"/>
      <w:r w:rsidRPr="006B73DA">
        <w:rPr>
          <w:rFonts w:ascii="標楷體" w:eastAsia="標楷體" w:hAnsi="標楷體" w:hint="eastAsia"/>
          <w:color w:val="0D0D0D"/>
          <w:sz w:val="28"/>
        </w:rPr>
        <w:t>~航向新旅程 幸福婚姻」實施計畫(新住民)</w:t>
      </w:r>
    </w:p>
    <w:p w:rsidR="00722495" w:rsidRPr="00375ED8" w:rsidRDefault="00722495" w:rsidP="00F04CB3">
      <w:pPr>
        <w:spacing w:line="480" w:lineRule="exact"/>
        <w:rPr>
          <w:rFonts w:ascii="標楷體" w:eastAsia="標楷體" w:hAnsi="標楷體"/>
          <w:color w:val="FF0000"/>
          <w:sz w:val="28"/>
        </w:rPr>
      </w:pPr>
    </w:p>
    <w:p w:rsidR="00722495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/>
          <w:color w:val="0D0D0D"/>
          <w:sz w:val="28"/>
        </w:rPr>
        <w:t>一、</w:t>
      </w:r>
      <w:r>
        <w:rPr>
          <w:rFonts w:ascii="標楷體" w:eastAsia="標楷體" w:hAnsi="標楷體" w:hint="eastAsia"/>
          <w:color w:val="0D0D0D"/>
          <w:sz w:val="28"/>
        </w:rPr>
        <w:t>計畫</w:t>
      </w:r>
      <w:r>
        <w:rPr>
          <w:rFonts w:ascii="標楷體" w:eastAsia="標楷體" w:hAnsi="標楷體"/>
          <w:color w:val="0D0D0D"/>
          <w:sz w:val="28"/>
        </w:rPr>
        <w:t>依據：</w:t>
      </w:r>
    </w:p>
    <w:p w:rsidR="006B73DA" w:rsidRDefault="00722495" w:rsidP="006B73DA">
      <w:pPr>
        <w:spacing w:line="480" w:lineRule="exact"/>
        <w:ind w:leftChars="117" w:left="28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（一）教育部</w:t>
      </w:r>
      <w:proofErr w:type="gramStart"/>
      <w:r>
        <w:rPr>
          <w:rFonts w:ascii="標楷體" w:eastAsia="標楷體" w:hAnsi="標楷體" w:hint="eastAsia"/>
          <w:sz w:val="28"/>
        </w:rPr>
        <w:t>105</w:t>
      </w:r>
      <w:proofErr w:type="gramEnd"/>
      <w:r>
        <w:rPr>
          <w:rFonts w:ascii="標楷體" w:eastAsia="標楷體" w:hAnsi="標楷體" w:hint="eastAsia"/>
          <w:sz w:val="28"/>
        </w:rPr>
        <w:t>年度重點工作計畫。</w:t>
      </w:r>
    </w:p>
    <w:p w:rsidR="00722495" w:rsidRDefault="00722495" w:rsidP="006B73DA">
      <w:pPr>
        <w:spacing w:line="480" w:lineRule="exact"/>
        <w:ind w:leftChars="117" w:left="1132" w:hangingChars="304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（二）教育部</w:t>
      </w:r>
      <w:proofErr w:type="gramStart"/>
      <w:r>
        <w:rPr>
          <w:rFonts w:ascii="標楷體" w:eastAsia="標楷體" w:hAnsi="標楷體" w:hint="eastAsia"/>
          <w:sz w:val="28"/>
        </w:rPr>
        <w:t>105</w:t>
      </w:r>
      <w:proofErr w:type="gramEnd"/>
      <w:r>
        <w:rPr>
          <w:rFonts w:ascii="標楷體" w:eastAsia="標楷體" w:hAnsi="標楷體" w:hint="eastAsia"/>
          <w:sz w:val="28"/>
        </w:rPr>
        <w:t>年度補助各縣市政府推展家庭教育實施計畫辦理。</w:t>
      </w:r>
    </w:p>
    <w:p w:rsidR="006B73DA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二</w:t>
      </w:r>
      <w:r>
        <w:rPr>
          <w:rFonts w:ascii="標楷體" w:eastAsia="標楷體" w:hAnsi="標楷體"/>
          <w:color w:val="0D0D0D"/>
          <w:sz w:val="28"/>
        </w:rPr>
        <w:t>、</w:t>
      </w:r>
      <w:r>
        <w:rPr>
          <w:rFonts w:ascii="標楷體" w:eastAsia="標楷體" w:hAnsi="標楷體" w:hint="eastAsia"/>
          <w:color w:val="0D0D0D"/>
          <w:sz w:val="28"/>
        </w:rPr>
        <w:t>活動</w:t>
      </w:r>
      <w:r>
        <w:rPr>
          <w:rFonts w:ascii="標楷體" w:eastAsia="標楷體" w:hAnsi="標楷體"/>
          <w:color w:val="0D0D0D"/>
          <w:sz w:val="28"/>
        </w:rPr>
        <w:t>目的：</w:t>
      </w:r>
    </w:p>
    <w:p w:rsidR="00722495" w:rsidRDefault="006B73DA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透過課程，讓新住民夫妻學習婚姻經營之道，進而促進婚姻關係，</w:t>
      </w:r>
      <w:r w:rsidR="00722495">
        <w:rPr>
          <w:rFonts w:ascii="標楷體" w:eastAsia="標楷體" w:hAnsi="標楷體" w:hint="eastAsia"/>
          <w:color w:val="0D0D0D"/>
          <w:sz w:val="28"/>
        </w:rPr>
        <w:t>營造美滿家庭。</w:t>
      </w:r>
    </w:p>
    <w:p w:rsidR="006B73DA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三</w:t>
      </w:r>
      <w:r>
        <w:rPr>
          <w:rFonts w:ascii="標楷體" w:eastAsia="標楷體" w:hAnsi="標楷體"/>
          <w:color w:val="0D0D0D"/>
          <w:sz w:val="28"/>
        </w:rPr>
        <w:t>、辦理單位：</w:t>
      </w:r>
    </w:p>
    <w:p w:rsidR="006B73DA" w:rsidRDefault="00722495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（一）指導</w:t>
      </w:r>
      <w:r>
        <w:rPr>
          <w:rFonts w:ascii="標楷體" w:eastAsia="標楷體" w:hAnsi="標楷體"/>
          <w:color w:val="0D0D0D"/>
          <w:sz w:val="28"/>
        </w:rPr>
        <w:t>單位：</w:t>
      </w:r>
      <w:r>
        <w:rPr>
          <w:rFonts w:ascii="標楷體" w:eastAsia="標楷體" w:hAnsi="標楷體" w:hint="eastAsia"/>
          <w:color w:val="0D0D0D"/>
          <w:sz w:val="28"/>
        </w:rPr>
        <w:t>教育部</w:t>
      </w:r>
    </w:p>
    <w:p w:rsidR="006B73DA" w:rsidRDefault="00722495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（二）主</w:t>
      </w:r>
      <w:r>
        <w:rPr>
          <w:rFonts w:ascii="標楷體" w:eastAsia="標楷體" w:hAnsi="標楷體"/>
          <w:color w:val="0D0D0D"/>
          <w:sz w:val="28"/>
        </w:rPr>
        <w:t>辦單位：</w:t>
      </w:r>
      <w:r>
        <w:rPr>
          <w:rFonts w:ascii="標楷體" w:eastAsia="標楷體" w:hAnsi="標楷體" w:hint="eastAsia"/>
          <w:color w:val="0D0D0D"/>
          <w:sz w:val="28"/>
        </w:rPr>
        <w:t>嘉義縣政府、嘉義縣家庭教育中心</w:t>
      </w:r>
    </w:p>
    <w:p w:rsidR="006B73DA" w:rsidRDefault="00722495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（三）承辦單位</w:t>
      </w:r>
      <w:r w:rsidRPr="00F04CB3">
        <w:rPr>
          <w:rFonts w:ascii="標楷體" w:eastAsia="標楷體" w:hAnsi="標楷體" w:hint="eastAsia"/>
          <w:sz w:val="28"/>
        </w:rPr>
        <w:t>：國立嘉義大學家庭教育研究中心</w:t>
      </w:r>
    </w:p>
    <w:p w:rsidR="00722495" w:rsidRDefault="00722495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（四）協辦單位：嘉義縣福樂國小、嘉義縣興中國小</w:t>
      </w:r>
    </w:p>
    <w:p w:rsidR="006B73DA" w:rsidRDefault="00722495" w:rsidP="00722495">
      <w:pPr>
        <w:spacing w:line="480" w:lineRule="exact"/>
        <w:ind w:left="1960" w:hangingChars="700" w:hanging="1960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四、辦理時間：</w:t>
      </w:r>
    </w:p>
    <w:p w:rsidR="00722495" w:rsidRDefault="00722495" w:rsidP="006B73DA">
      <w:pPr>
        <w:spacing w:line="480" w:lineRule="exact"/>
        <w:ind w:leftChars="118" w:left="283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105年5月~11月，共計辦理2班，一班2場次，共計4場次，每場次3小時</w:t>
      </w:r>
    </w:p>
    <w:p w:rsidR="006B73DA" w:rsidRDefault="00722495" w:rsidP="00722495">
      <w:pPr>
        <w:spacing w:line="480" w:lineRule="exact"/>
        <w:ind w:left="2481" w:hangingChars="886" w:hanging="24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五、辦理地點：</w:t>
      </w:r>
    </w:p>
    <w:p w:rsidR="00722495" w:rsidRDefault="00722495" w:rsidP="006B73DA">
      <w:pPr>
        <w:spacing w:line="480" w:lineRule="exact"/>
        <w:ind w:leftChars="118" w:left="283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嘉義縣福樂國小、嘉義縣興中國小</w:t>
      </w:r>
    </w:p>
    <w:p w:rsidR="006B73DA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六</w:t>
      </w:r>
      <w:r>
        <w:rPr>
          <w:rFonts w:ascii="標楷體" w:eastAsia="標楷體" w:hAnsi="標楷體"/>
          <w:color w:val="0D0D0D"/>
          <w:sz w:val="28"/>
        </w:rPr>
        <w:t>、</w:t>
      </w:r>
      <w:r>
        <w:rPr>
          <w:rFonts w:ascii="標楷體" w:eastAsia="標楷體" w:hAnsi="標楷體" w:hint="eastAsia"/>
          <w:color w:val="0D0D0D"/>
          <w:sz w:val="28"/>
        </w:rPr>
        <w:t>參加</w:t>
      </w:r>
      <w:r>
        <w:rPr>
          <w:rFonts w:ascii="標楷體" w:eastAsia="標楷體" w:hAnsi="標楷體"/>
          <w:color w:val="0D0D0D"/>
          <w:sz w:val="28"/>
        </w:rPr>
        <w:t>對象：</w:t>
      </w:r>
    </w:p>
    <w:p w:rsidR="006B73DA" w:rsidRDefault="00722495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1.本縣新住民夫妻優先參加；</w:t>
      </w:r>
    </w:p>
    <w:p w:rsidR="006B73DA" w:rsidRDefault="00722495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2.一般家長及民眾</w:t>
      </w:r>
    </w:p>
    <w:p w:rsidR="00722495" w:rsidRDefault="00722495" w:rsidP="006B73DA">
      <w:pPr>
        <w:spacing w:line="480" w:lineRule="exact"/>
        <w:ind w:leftChars="117" w:left="281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 xml:space="preserve">3.每場次50人(成人、子女各25人)，計200人次。   </w:t>
      </w:r>
    </w:p>
    <w:p w:rsidR="006B73DA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七、獎勵方式：</w:t>
      </w:r>
    </w:p>
    <w:p w:rsidR="00722495" w:rsidRDefault="00722495" w:rsidP="006B73DA">
      <w:pPr>
        <w:spacing w:line="480" w:lineRule="exact"/>
        <w:ind w:leftChars="118" w:left="283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新住民或夫妻偕同參與，將贈送精美小禮物。</w:t>
      </w:r>
    </w:p>
    <w:p w:rsidR="00F04CB3" w:rsidRDefault="00722495" w:rsidP="00F04CB3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ind w:left="1128" w:hanging="1128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八、報名方式:</w:t>
      </w:r>
    </w:p>
    <w:p w:rsidR="006B73DA" w:rsidRDefault="00722495" w:rsidP="00C70630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ind w:leftChars="178" w:left="710" w:hangingChars="101" w:hanging="283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（一）報名表請上「嘉義縣家庭教育中心網站」http://cic.familyedu.moe.gov.tw/最新公告處下載，並填妥</w:t>
      </w:r>
      <w:r>
        <w:rPr>
          <w:rFonts w:hint="eastAsia"/>
          <w:color w:val="0D0D0D"/>
          <w:sz w:val="28"/>
        </w:rPr>
        <w:lastRenderedPageBreak/>
        <w:t>報名表（如附件一）。</w:t>
      </w:r>
    </w:p>
    <w:p w:rsidR="006B73DA" w:rsidRDefault="002D487D" w:rsidP="006B73DA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ind w:left="284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（二</w:t>
      </w:r>
      <w:r w:rsidR="00722495">
        <w:rPr>
          <w:rFonts w:hint="eastAsia"/>
          <w:color w:val="0D0D0D"/>
          <w:sz w:val="28"/>
        </w:rPr>
        <w:t>）報名期限：</w:t>
      </w:r>
    </w:p>
    <w:p w:rsidR="006B73DA" w:rsidRDefault="00722495" w:rsidP="006B73DA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ind w:left="709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1.</w:t>
      </w:r>
      <w:r w:rsidR="00F04CB3">
        <w:rPr>
          <w:rFonts w:hint="eastAsia"/>
          <w:color w:val="0D0D0D"/>
          <w:sz w:val="28"/>
        </w:rPr>
        <w:t>福樂國小場次</w:t>
      </w:r>
      <w:proofErr w:type="gramStart"/>
      <w:r w:rsidR="00F04CB3">
        <w:rPr>
          <w:rFonts w:hint="eastAsia"/>
          <w:color w:val="0D0D0D"/>
          <w:sz w:val="28"/>
        </w:rPr>
        <w:t>（</w:t>
      </w:r>
      <w:proofErr w:type="gramEnd"/>
      <w:r w:rsidR="00F04CB3">
        <w:rPr>
          <w:rFonts w:hint="eastAsia"/>
          <w:color w:val="0D0D0D"/>
          <w:sz w:val="28"/>
        </w:rPr>
        <w:t>辦理日期：4</w:t>
      </w:r>
      <w:r>
        <w:rPr>
          <w:rFonts w:hint="eastAsia"/>
          <w:color w:val="0D0D0D"/>
          <w:sz w:val="28"/>
        </w:rPr>
        <w:t>/</w:t>
      </w:r>
      <w:r w:rsidR="00F04CB3">
        <w:rPr>
          <w:rFonts w:hint="eastAsia"/>
          <w:color w:val="0D0D0D"/>
          <w:sz w:val="28"/>
        </w:rPr>
        <w:t>16、4/23；地點：福樂國小</w:t>
      </w:r>
      <w:proofErr w:type="gramStart"/>
      <w:r>
        <w:rPr>
          <w:rFonts w:hint="eastAsia"/>
          <w:color w:val="0D0D0D"/>
          <w:sz w:val="28"/>
        </w:rPr>
        <w:t>）</w:t>
      </w:r>
      <w:proofErr w:type="gramEnd"/>
      <w:r>
        <w:rPr>
          <w:rFonts w:hint="eastAsia"/>
          <w:color w:val="0D0D0D"/>
          <w:sz w:val="28"/>
        </w:rPr>
        <w:t>請於辦理活動日</w:t>
      </w:r>
      <w:proofErr w:type="gramStart"/>
      <w:r>
        <w:rPr>
          <w:rFonts w:hint="eastAsia"/>
          <w:color w:val="0D0D0D"/>
          <w:sz w:val="28"/>
        </w:rPr>
        <w:t>一週</w:t>
      </w:r>
      <w:proofErr w:type="gramEnd"/>
      <w:r>
        <w:rPr>
          <w:rFonts w:hint="eastAsia"/>
          <w:color w:val="0D0D0D"/>
          <w:sz w:val="28"/>
        </w:rPr>
        <w:t>前完成報名。</w:t>
      </w:r>
    </w:p>
    <w:p w:rsidR="006B73DA" w:rsidRDefault="00722495" w:rsidP="006B73DA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ind w:left="709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2.</w:t>
      </w:r>
      <w:r w:rsidR="00F04CB3">
        <w:rPr>
          <w:rFonts w:hint="eastAsia"/>
          <w:color w:val="0D0D0D"/>
          <w:sz w:val="28"/>
        </w:rPr>
        <w:t>興中國小場次</w:t>
      </w:r>
      <w:proofErr w:type="gramStart"/>
      <w:r w:rsidR="00F04CB3">
        <w:rPr>
          <w:rFonts w:hint="eastAsia"/>
          <w:color w:val="0D0D0D"/>
          <w:sz w:val="28"/>
        </w:rPr>
        <w:t>（</w:t>
      </w:r>
      <w:proofErr w:type="gramEnd"/>
      <w:r w:rsidR="00F04CB3">
        <w:rPr>
          <w:rFonts w:hint="eastAsia"/>
          <w:color w:val="0D0D0D"/>
          <w:sz w:val="28"/>
        </w:rPr>
        <w:t>辦理日期：</w:t>
      </w:r>
      <w:r w:rsidR="00F04CB3" w:rsidRPr="0080152E">
        <w:rPr>
          <w:rFonts w:hint="eastAsia"/>
          <w:sz w:val="28"/>
        </w:rPr>
        <w:t>5</w:t>
      </w:r>
      <w:r w:rsidRPr="0080152E">
        <w:rPr>
          <w:rFonts w:hint="eastAsia"/>
          <w:sz w:val="28"/>
        </w:rPr>
        <w:t>/</w:t>
      </w:r>
      <w:r w:rsidR="00F04CB3" w:rsidRPr="0080152E">
        <w:rPr>
          <w:rFonts w:hint="eastAsia"/>
          <w:sz w:val="28"/>
        </w:rPr>
        <w:t>28、</w:t>
      </w:r>
      <w:r w:rsidR="0080152E" w:rsidRPr="0080152E">
        <w:rPr>
          <w:rFonts w:hint="eastAsia"/>
          <w:sz w:val="28"/>
        </w:rPr>
        <w:t>6/11</w:t>
      </w:r>
      <w:r>
        <w:rPr>
          <w:rFonts w:hint="eastAsia"/>
          <w:color w:val="0D0D0D"/>
          <w:sz w:val="28"/>
        </w:rPr>
        <w:t>；地點：</w:t>
      </w:r>
      <w:r w:rsidR="00F04CB3">
        <w:rPr>
          <w:rFonts w:hint="eastAsia"/>
          <w:color w:val="0D0D0D"/>
          <w:sz w:val="28"/>
        </w:rPr>
        <w:t>興中國小</w:t>
      </w:r>
      <w:proofErr w:type="gramStart"/>
      <w:r>
        <w:rPr>
          <w:rFonts w:hint="eastAsia"/>
          <w:color w:val="0D0D0D"/>
          <w:sz w:val="28"/>
        </w:rPr>
        <w:t>）</w:t>
      </w:r>
      <w:proofErr w:type="gramEnd"/>
      <w:r>
        <w:rPr>
          <w:rFonts w:hint="eastAsia"/>
          <w:color w:val="0D0D0D"/>
          <w:sz w:val="28"/>
        </w:rPr>
        <w:t>請於辦理活動日</w:t>
      </w:r>
      <w:proofErr w:type="gramStart"/>
      <w:r>
        <w:rPr>
          <w:rFonts w:hint="eastAsia"/>
          <w:color w:val="0D0D0D"/>
          <w:sz w:val="28"/>
        </w:rPr>
        <w:t>一週</w:t>
      </w:r>
      <w:proofErr w:type="gramEnd"/>
      <w:r>
        <w:rPr>
          <w:rFonts w:hint="eastAsia"/>
          <w:color w:val="0D0D0D"/>
          <w:sz w:val="28"/>
        </w:rPr>
        <w:t>前完成報名。</w:t>
      </w:r>
    </w:p>
    <w:p w:rsidR="00722495" w:rsidRDefault="00722495" w:rsidP="006B73DA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ind w:left="709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3.為彙整報名者名冊，郵寄報名表亦請於辦理活動日前</w:t>
      </w:r>
      <w:proofErr w:type="gramStart"/>
      <w:r>
        <w:rPr>
          <w:rFonts w:hint="eastAsia"/>
          <w:color w:val="0D0D0D"/>
          <w:sz w:val="28"/>
        </w:rPr>
        <w:t>一週</w:t>
      </w:r>
      <w:proofErr w:type="gramEnd"/>
      <w:r>
        <w:rPr>
          <w:rFonts w:hint="eastAsia"/>
          <w:color w:val="0D0D0D"/>
          <w:sz w:val="28"/>
        </w:rPr>
        <w:t>寄送。</w:t>
      </w:r>
    </w:p>
    <w:p w:rsidR="00722495" w:rsidRDefault="00722495" w:rsidP="00722495">
      <w:pPr>
        <w:pStyle w:val="xl93"/>
        <w:kinsoku w:val="0"/>
        <w:snapToGrid w:val="0"/>
        <w:spacing w:line="480" w:lineRule="exact"/>
        <w:ind w:left="1128" w:hanging="1128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九、預期成效：</w:t>
      </w:r>
    </w:p>
    <w:p w:rsidR="006B73DA" w:rsidRDefault="00722495" w:rsidP="006B73DA">
      <w:pPr>
        <w:pStyle w:val="xl93"/>
        <w:kinsoku w:val="0"/>
        <w:snapToGrid w:val="0"/>
        <w:spacing w:line="480" w:lineRule="exact"/>
        <w:ind w:leftChars="117" w:left="989" w:hangingChars="253" w:hanging="708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（一）讓夫妻了解溝通模式對彼此關係的影響，重新審視婚姻，</w:t>
      </w:r>
      <w:proofErr w:type="gramStart"/>
      <w:r>
        <w:rPr>
          <w:rFonts w:hint="eastAsia"/>
          <w:color w:val="0D0D0D"/>
          <w:sz w:val="28"/>
        </w:rPr>
        <w:t>建構兩人</w:t>
      </w:r>
      <w:proofErr w:type="gramEnd"/>
      <w:r>
        <w:rPr>
          <w:rFonts w:hint="eastAsia"/>
          <w:color w:val="0D0D0D"/>
          <w:sz w:val="28"/>
        </w:rPr>
        <w:t>新關係</w:t>
      </w:r>
    </w:p>
    <w:p w:rsidR="00722495" w:rsidRDefault="00722495" w:rsidP="006B73DA">
      <w:pPr>
        <w:pStyle w:val="xl93"/>
        <w:kinsoku w:val="0"/>
        <w:snapToGrid w:val="0"/>
        <w:spacing w:line="480" w:lineRule="exact"/>
        <w:ind w:leftChars="117" w:left="989" w:hangingChars="253" w:hanging="708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（二）透過夫妻生命動能的啟發，找到婚姻新的生命力，增進婚姻幸福感。</w:t>
      </w:r>
    </w:p>
    <w:p w:rsidR="00722495" w:rsidRDefault="00722495" w:rsidP="00722495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十、課程內容</w:t>
      </w:r>
      <w:r>
        <w:rPr>
          <w:color w:val="0D0D0D"/>
          <w:sz w:val="28"/>
        </w:rPr>
        <w:t>：</w:t>
      </w:r>
    </w:p>
    <w:p w:rsidR="00722495" w:rsidRDefault="00722495" w:rsidP="006B73DA">
      <w:pPr>
        <w:pStyle w:val="xl93"/>
        <w:widowControl w:val="0"/>
        <w:kinsoku w:val="0"/>
        <w:snapToGrid w:val="0"/>
        <w:spacing w:before="0" w:beforeAutospacing="0" w:after="0" w:afterAutospacing="0" w:line="480" w:lineRule="exact"/>
        <w:ind w:leftChars="177" w:left="425"/>
        <w:jc w:val="left"/>
        <w:rPr>
          <w:color w:val="0D0D0D"/>
          <w:sz w:val="28"/>
        </w:rPr>
      </w:pPr>
      <w:r>
        <w:rPr>
          <w:rFonts w:hint="eastAsia"/>
          <w:color w:val="0D0D0D"/>
          <w:sz w:val="28"/>
        </w:rPr>
        <w:t>(</w:t>
      </w:r>
      <w:proofErr w:type="gramStart"/>
      <w:r>
        <w:rPr>
          <w:rFonts w:hint="eastAsia"/>
          <w:color w:val="0D0D0D"/>
          <w:sz w:val="28"/>
        </w:rPr>
        <w:t>一</w:t>
      </w:r>
      <w:proofErr w:type="gramEnd"/>
      <w:r>
        <w:rPr>
          <w:rFonts w:hint="eastAsia"/>
          <w:color w:val="0D0D0D"/>
          <w:sz w:val="28"/>
        </w:rPr>
        <w:t>)成人班:</w:t>
      </w: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985"/>
        <w:gridCol w:w="2551"/>
      </w:tblGrid>
      <w:tr w:rsidR="00722495" w:rsidTr="006E4E57">
        <w:tc>
          <w:tcPr>
            <w:tcW w:w="1526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場次</w:t>
            </w:r>
            <w:r w:rsidR="006B73DA">
              <w:rPr>
                <w:rFonts w:hint="eastAsia"/>
                <w:color w:val="0D0D0D"/>
                <w:szCs w:val="24"/>
              </w:rPr>
              <w:t>/日期</w:t>
            </w:r>
          </w:p>
        </w:tc>
        <w:tc>
          <w:tcPr>
            <w:tcW w:w="1984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單元主題</w:t>
            </w:r>
          </w:p>
        </w:tc>
        <w:tc>
          <w:tcPr>
            <w:tcW w:w="1985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講師</w:t>
            </w:r>
          </w:p>
        </w:tc>
      </w:tr>
      <w:tr w:rsidR="00722495" w:rsidTr="006E4E57">
        <w:tc>
          <w:tcPr>
            <w:tcW w:w="1526" w:type="dxa"/>
            <w:vMerge w:val="restart"/>
            <w:vAlign w:val="center"/>
          </w:tcPr>
          <w:p w:rsidR="00722495" w:rsidRPr="006B73DA" w:rsidRDefault="00722495" w:rsidP="006B73DA">
            <w:pPr>
              <w:pStyle w:val="xl93"/>
              <w:widowControl w:val="0"/>
              <w:kinsoku w:val="0"/>
              <w:snapToGrid w:val="0"/>
              <w:spacing w:line="480" w:lineRule="exac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1</w:t>
            </w:r>
            <w:r w:rsidR="002D487D" w:rsidRPr="006B73DA">
              <w:rPr>
                <w:color w:val="0D0D0D"/>
                <w:szCs w:val="24"/>
              </w:rPr>
              <w:br/>
            </w:r>
            <w:r w:rsidR="002D487D" w:rsidRPr="006B73DA">
              <w:rPr>
                <w:rFonts w:hint="eastAsia"/>
                <w:color w:val="0D0D0D"/>
                <w:szCs w:val="24"/>
              </w:rPr>
              <w:t>4/16、</w:t>
            </w:r>
            <w:r w:rsidR="002D487D" w:rsidRPr="006B73DA">
              <w:rPr>
                <w:rFonts w:hint="eastAsia"/>
                <w:szCs w:val="24"/>
              </w:rPr>
              <w:t>5/28</w:t>
            </w:r>
          </w:p>
        </w:tc>
        <w:tc>
          <w:tcPr>
            <w:tcW w:w="1984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為婚姻添溫柔</w:t>
            </w:r>
          </w:p>
        </w:tc>
        <w:tc>
          <w:tcPr>
            <w:tcW w:w="1985" w:type="dxa"/>
            <w:vAlign w:val="center"/>
          </w:tcPr>
          <w:p w:rsidR="00722495" w:rsidRPr="006B73DA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談夫妻親密關係</w:t>
            </w:r>
          </w:p>
        </w:tc>
        <w:tc>
          <w:tcPr>
            <w:tcW w:w="2551" w:type="dxa"/>
            <w:vMerge w:val="restart"/>
          </w:tcPr>
          <w:p w:rsidR="00F04CB3" w:rsidRPr="006B73DA" w:rsidRDefault="00F04CB3" w:rsidP="006E4E57">
            <w:pPr>
              <w:widowControl/>
              <w:shd w:val="clear" w:color="auto" w:fill="FFFFFF"/>
              <w:spacing w:line="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73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劉嘉玲(嘉大輔</w:t>
            </w:r>
            <w:proofErr w:type="gramStart"/>
            <w:r w:rsidRPr="006B73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諮</w:t>
            </w:r>
            <w:proofErr w:type="gramEnd"/>
            <w:r w:rsidRPr="006B73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所</w:t>
            </w:r>
          </w:p>
          <w:p w:rsidR="00F04CB3" w:rsidRPr="006B73DA" w:rsidRDefault="00F04CB3" w:rsidP="006E4E57">
            <w:pPr>
              <w:widowControl/>
              <w:shd w:val="clear" w:color="auto" w:fill="FFFFFF"/>
              <w:spacing w:line="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73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家教組、國立華南高</w:t>
            </w:r>
          </w:p>
          <w:p w:rsidR="00F04CB3" w:rsidRPr="006B73DA" w:rsidRDefault="00F04CB3" w:rsidP="006E4E57">
            <w:pPr>
              <w:widowControl/>
              <w:shd w:val="clear" w:color="auto" w:fill="FFFFFF"/>
              <w:spacing w:line="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73D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商輔導教師)</w:t>
            </w:r>
          </w:p>
          <w:p w:rsidR="00722495" w:rsidRPr="006B73DA" w:rsidRDefault="00F04CB3" w:rsidP="006E4E57">
            <w:pPr>
              <w:pStyle w:val="xl93"/>
              <w:widowControl w:val="0"/>
              <w:kinsoku w:val="0"/>
              <w:snapToGrid w:val="0"/>
              <w:spacing w:line="480" w:lineRule="exact"/>
              <w:jc w:val="both"/>
              <w:rPr>
                <w:color w:val="0D0D0D"/>
                <w:szCs w:val="24"/>
              </w:rPr>
            </w:pPr>
            <w:r w:rsidRPr="006B73DA">
              <w:rPr>
                <w:rFonts w:hint="eastAsia"/>
                <w:szCs w:val="24"/>
              </w:rPr>
              <w:t>劉嘉玲(嘉大輔</w:t>
            </w:r>
            <w:proofErr w:type="gramStart"/>
            <w:r w:rsidRPr="006B73DA">
              <w:rPr>
                <w:rFonts w:hint="eastAsia"/>
                <w:szCs w:val="24"/>
              </w:rPr>
              <w:t>諮</w:t>
            </w:r>
            <w:proofErr w:type="gramEnd"/>
            <w:r w:rsidRPr="006B73DA">
              <w:rPr>
                <w:rFonts w:hint="eastAsia"/>
                <w:szCs w:val="24"/>
              </w:rPr>
              <w:t>所家教組、國立華南高商輔導教師)</w:t>
            </w:r>
          </w:p>
        </w:tc>
      </w:tr>
      <w:tr w:rsidR="00722495" w:rsidTr="006E4E57">
        <w:tc>
          <w:tcPr>
            <w:tcW w:w="1526" w:type="dxa"/>
            <w:vMerge/>
            <w:vAlign w:val="center"/>
          </w:tcPr>
          <w:p w:rsidR="00722495" w:rsidRPr="006B73DA" w:rsidRDefault="00722495" w:rsidP="006B73DA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rPr>
                <w:color w:val="0D0D0D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天作之合</w:t>
            </w:r>
          </w:p>
        </w:tc>
        <w:tc>
          <w:tcPr>
            <w:tcW w:w="1985" w:type="dxa"/>
            <w:vAlign w:val="center"/>
          </w:tcPr>
          <w:p w:rsidR="00722495" w:rsidRPr="006B73DA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談家務分工與家庭資源管理</w:t>
            </w:r>
          </w:p>
        </w:tc>
        <w:tc>
          <w:tcPr>
            <w:tcW w:w="2551" w:type="dxa"/>
            <w:vMerge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</w:p>
        </w:tc>
      </w:tr>
      <w:tr w:rsidR="00722495" w:rsidTr="006E4E57">
        <w:tc>
          <w:tcPr>
            <w:tcW w:w="1526" w:type="dxa"/>
            <w:vMerge w:val="restart"/>
            <w:vAlign w:val="center"/>
          </w:tcPr>
          <w:p w:rsidR="00722495" w:rsidRPr="006B73DA" w:rsidRDefault="00722495" w:rsidP="006B73DA">
            <w:pPr>
              <w:pStyle w:val="xl93"/>
              <w:widowControl w:val="0"/>
              <w:kinsoku w:val="0"/>
              <w:snapToGrid w:val="0"/>
              <w:spacing w:line="480" w:lineRule="exac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2</w:t>
            </w:r>
            <w:r w:rsidR="002D487D" w:rsidRPr="006B73DA">
              <w:rPr>
                <w:color w:val="0D0D0D"/>
                <w:szCs w:val="24"/>
              </w:rPr>
              <w:br/>
            </w:r>
            <w:r w:rsidR="002D487D" w:rsidRPr="006B73DA">
              <w:rPr>
                <w:rFonts w:hint="eastAsia"/>
                <w:color w:val="0D0D0D"/>
                <w:szCs w:val="24"/>
              </w:rPr>
              <w:t>4/23、</w:t>
            </w:r>
            <w:r w:rsidR="0080152E" w:rsidRPr="006B73DA">
              <w:rPr>
                <w:rFonts w:hint="eastAsia"/>
                <w:szCs w:val="24"/>
              </w:rPr>
              <w:t>6/11</w:t>
            </w:r>
          </w:p>
        </w:tc>
        <w:tc>
          <w:tcPr>
            <w:tcW w:w="1984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婆媳過招千百回</w:t>
            </w:r>
          </w:p>
        </w:tc>
        <w:tc>
          <w:tcPr>
            <w:tcW w:w="1985" w:type="dxa"/>
            <w:vAlign w:val="center"/>
          </w:tcPr>
          <w:p w:rsidR="00722495" w:rsidRPr="006B73DA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談婆媳關係</w:t>
            </w:r>
          </w:p>
        </w:tc>
        <w:tc>
          <w:tcPr>
            <w:tcW w:w="2551" w:type="dxa"/>
            <w:vMerge w:val="restart"/>
            <w:vAlign w:val="center"/>
          </w:tcPr>
          <w:p w:rsidR="00722495" w:rsidRPr="006B73DA" w:rsidRDefault="00F04CB3" w:rsidP="00855E70">
            <w:pPr>
              <w:pStyle w:val="xl93"/>
              <w:widowControl w:val="0"/>
              <w:kinsoku w:val="0"/>
              <w:snapToGrid w:val="0"/>
              <w:spacing w:line="480" w:lineRule="exact"/>
              <w:jc w:val="left"/>
              <w:rPr>
                <w:color w:val="0D0D0D"/>
                <w:szCs w:val="24"/>
              </w:rPr>
            </w:pPr>
            <w:proofErr w:type="gramStart"/>
            <w:r w:rsidRPr="006B73DA">
              <w:rPr>
                <w:rFonts w:hint="eastAsia"/>
                <w:szCs w:val="24"/>
              </w:rPr>
              <w:t>鄭峰銘</w:t>
            </w:r>
            <w:proofErr w:type="gramEnd"/>
            <w:r w:rsidRPr="006B73DA">
              <w:rPr>
                <w:rFonts w:hint="eastAsia"/>
                <w:szCs w:val="24"/>
              </w:rPr>
              <w:t>(嘉義大學家庭教育研究所、天主教崇仁護理專科學校兼任講師)</w:t>
            </w:r>
          </w:p>
        </w:tc>
      </w:tr>
      <w:tr w:rsidR="00722495" w:rsidTr="006E4E57">
        <w:tc>
          <w:tcPr>
            <w:tcW w:w="1526" w:type="dxa"/>
            <w:vMerge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b/>
                <w:color w:val="0D0D0D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2495" w:rsidRPr="006B73DA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b/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幸福加溫</w:t>
            </w:r>
          </w:p>
        </w:tc>
        <w:tc>
          <w:tcPr>
            <w:tcW w:w="1985" w:type="dxa"/>
            <w:vAlign w:val="center"/>
          </w:tcPr>
          <w:p w:rsidR="00722495" w:rsidRPr="006B73DA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談夫妻衝突與因應之道</w:t>
            </w:r>
          </w:p>
        </w:tc>
        <w:tc>
          <w:tcPr>
            <w:tcW w:w="2551" w:type="dxa"/>
            <w:vMerge/>
            <w:vAlign w:val="center"/>
          </w:tcPr>
          <w:p w:rsidR="00722495" w:rsidRDefault="00722495" w:rsidP="00855E70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b/>
                <w:color w:val="0D0D0D"/>
                <w:sz w:val="28"/>
              </w:rPr>
            </w:pPr>
          </w:p>
        </w:tc>
      </w:tr>
    </w:tbl>
    <w:p w:rsidR="0080152E" w:rsidRDefault="0080152E" w:rsidP="0080152E">
      <w:pPr>
        <w:spacing w:line="480" w:lineRule="exact"/>
        <w:rPr>
          <w:rFonts w:ascii="標楷體" w:eastAsia="標楷體" w:hAnsi="標楷體"/>
          <w:color w:val="0D0D0D"/>
          <w:sz w:val="28"/>
        </w:rPr>
      </w:pPr>
    </w:p>
    <w:p w:rsidR="0080152E" w:rsidRDefault="0080152E">
      <w:pPr>
        <w:widowControl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/>
          <w:color w:val="0D0D0D"/>
          <w:sz w:val="28"/>
        </w:rPr>
        <w:br w:type="page"/>
      </w:r>
    </w:p>
    <w:tbl>
      <w:tblPr>
        <w:tblpPr w:leftFromText="182" w:rightFromText="182" w:vertAnchor="text" w:horzAnchor="margin" w:tblpXSpec="center" w:tblpY="826"/>
        <w:tblOverlap w:val="never"/>
        <w:tblW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127"/>
        <w:gridCol w:w="2549"/>
      </w:tblGrid>
      <w:tr w:rsidR="006B73DA" w:rsidTr="006E4E57">
        <w:trPr>
          <w:trHeight w:val="843"/>
        </w:trPr>
        <w:tc>
          <w:tcPr>
            <w:tcW w:w="1668" w:type="dxa"/>
            <w:shd w:val="clear" w:color="auto" w:fill="FFFFFF"/>
            <w:vAlign w:val="center"/>
          </w:tcPr>
          <w:p w:rsidR="006B73DA" w:rsidRPr="006B73DA" w:rsidRDefault="006B73DA" w:rsidP="006B73DA">
            <w:pPr>
              <w:spacing w:line="480" w:lineRule="exact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lastRenderedPageBreak/>
              <w:t>場次</w:t>
            </w:r>
          </w:p>
          <w:p w:rsidR="006B73DA" w:rsidRPr="006B73DA" w:rsidRDefault="006B73DA" w:rsidP="006B73DA">
            <w:pPr>
              <w:spacing w:line="480" w:lineRule="exact"/>
              <w:ind w:left="991" w:hangingChars="413" w:hanging="991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>日期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3DA" w:rsidRPr="006B73DA" w:rsidRDefault="006B73DA" w:rsidP="006B73DA">
            <w:pPr>
              <w:spacing w:line="480" w:lineRule="exact"/>
              <w:ind w:left="991" w:hangingChars="413" w:hanging="991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73DA" w:rsidRPr="006B73DA" w:rsidRDefault="006B73DA" w:rsidP="006B73DA">
            <w:pPr>
              <w:spacing w:line="480" w:lineRule="exact"/>
              <w:ind w:left="991" w:hangingChars="413" w:hanging="991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課程內容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6B73DA" w:rsidRPr="006B73DA" w:rsidRDefault="006B73DA" w:rsidP="006B73DA">
            <w:pPr>
              <w:spacing w:line="480" w:lineRule="exact"/>
              <w:ind w:left="991" w:hangingChars="413" w:hanging="991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講師</w:t>
            </w:r>
          </w:p>
        </w:tc>
      </w:tr>
      <w:tr w:rsidR="006B73DA" w:rsidTr="006E4E57">
        <w:trPr>
          <w:trHeight w:val="1686"/>
        </w:trPr>
        <w:tc>
          <w:tcPr>
            <w:tcW w:w="1668" w:type="dxa"/>
            <w:shd w:val="clear" w:color="auto" w:fill="FFFFFF"/>
            <w:vAlign w:val="center"/>
          </w:tcPr>
          <w:p w:rsidR="006B73DA" w:rsidRPr="006B73DA" w:rsidRDefault="006B73DA" w:rsidP="006B73DA">
            <w:pPr>
              <w:spacing w:line="480" w:lineRule="exact"/>
              <w:ind w:firstLineChars="59" w:firstLine="142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1</w:t>
            </w:r>
          </w:p>
          <w:p w:rsidR="006B73DA" w:rsidRPr="006B73DA" w:rsidRDefault="006B73DA" w:rsidP="006B73DA">
            <w:pPr>
              <w:spacing w:line="480" w:lineRule="exact"/>
              <w:ind w:left="991" w:hangingChars="413" w:hanging="991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4/16</w:t>
            </w:r>
            <w:r>
              <w:rPr>
                <w:rFonts w:ascii="標楷體" w:eastAsia="標楷體" w:hAnsi="標楷體" w:hint="eastAsia"/>
                <w:color w:val="0D0D0D"/>
                <w:szCs w:val="24"/>
              </w:rPr>
              <w:t>、</w:t>
            </w: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6/11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3DA" w:rsidRPr="006E4E57" w:rsidRDefault="006E4E57" w:rsidP="006E4E57">
            <w:pPr>
              <w:spacing w:line="480" w:lineRule="exact"/>
              <w:ind w:left="991" w:hangingChars="413" w:hanging="991"/>
              <w:rPr>
                <w:rFonts w:ascii="標楷體" w:eastAsia="標楷體" w:hAnsi="標楷體"/>
                <w:color w:val="0D0D0D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小黑魚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歷險</w:t>
            </w:r>
            <w:bookmarkStart w:id="0" w:name="_GoBack"/>
            <w:bookmarkEnd w:id="0"/>
            <w:proofErr w:type="gramEnd"/>
          </w:p>
        </w:tc>
        <w:tc>
          <w:tcPr>
            <w:tcW w:w="2127" w:type="dxa"/>
            <w:shd w:val="clear" w:color="auto" w:fill="FFFFFF"/>
            <w:vAlign w:val="center"/>
          </w:tcPr>
          <w:p w:rsidR="006B73DA" w:rsidRPr="006E4E57" w:rsidRDefault="006B73DA" w:rsidP="006E4E57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E4E57">
              <w:rPr>
                <w:rFonts w:hint="eastAsia"/>
                <w:color w:val="0D0D0D"/>
                <w:szCs w:val="24"/>
              </w:rPr>
              <w:t>1</w:t>
            </w:r>
            <w:r w:rsidRPr="006E4E57">
              <w:rPr>
                <w:rFonts w:hint="eastAsia"/>
                <w:szCs w:val="24"/>
              </w:rPr>
              <w:t>.</w:t>
            </w:r>
            <w:r w:rsidR="006E4E57" w:rsidRPr="006E4E57">
              <w:rPr>
                <w:rFonts w:hint="eastAsia"/>
                <w:szCs w:val="24"/>
              </w:rPr>
              <w:t>介紹</w:t>
            </w:r>
            <w:proofErr w:type="gramStart"/>
            <w:r w:rsidR="006E4E57" w:rsidRPr="006E4E57">
              <w:rPr>
                <w:rFonts w:hint="eastAsia"/>
                <w:szCs w:val="24"/>
              </w:rPr>
              <w:t>小黑魚的</w:t>
            </w:r>
            <w:proofErr w:type="gramEnd"/>
            <w:r w:rsidR="006E4E57" w:rsidRPr="006E4E57">
              <w:rPr>
                <w:rFonts w:hint="eastAsia"/>
                <w:szCs w:val="24"/>
              </w:rPr>
              <w:t>冒險故事，</w:t>
            </w:r>
            <w:r w:rsidR="006E4E57">
              <w:rPr>
                <w:rFonts w:ascii="Arial" w:hAnsi="Arial" w:cs="Arial" w:hint="eastAsia"/>
                <w:shd w:val="clear" w:color="auto" w:fill="FFFFFF"/>
              </w:rPr>
              <w:t>認識</w:t>
            </w:r>
            <w:r w:rsidR="006E4E57" w:rsidRPr="006E4E57">
              <w:rPr>
                <w:rFonts w:ascii="Arial" w:hAnsi="Arial" w:cs="Arial"/>
                <w:shd w:val="clear" w:color="auto" w:fill="FFFFFF"/>
              </w:rPr>
              <w:t>發揮思考與團結合作的重要性</w:t>
            </w:r>
            <w:r w:rsidRPr="006E4E57">
              <w:rPr>
                <w:rFonts w:hint="eastAsia"/>
                <w:szCs w:val="24"/>
              </w:rPr>
              <w:t>。</w:t>
            </w:r>
          </w:p>
          <w:p w:rsidR="006B73DA" w:rsidRPr="006E4E57" w:rsidRDefault="006B73DA" w:rsidP="006E4E57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E4E57">
              <w:rPr>
                <w:rFonts w:hint="eastAsia"/>
                <w:color w:val="0D0D0D"/>
                <w:szCs w:val="24"/>
              </w:rPr>
              <w:t>2.讓孩子們</w:t>
            </w:r>
            <w:r w:rsidR="006E4E57">
              <w:rPr>
                <w:rFonts w:hint="eastAsia"/>
                <w:color w:val="0D0D0D"/>
                <w:szCs w:val="24"/>
              </w:rPr>
              <w:t>製作黏土磁鐵</w:t>
            </w:r>
            <w:r w:rsidRPr="006E4E57">
              <w:rPr>
                <w:rFonts w:hint="eastAsia"/>
                <w:color w:val="0D0D0D"/>
                <w:szCs w:val="24"/>
              </w:rPr>
              <w:t>，</w:t>
            </w:r>
            <w:r w:rsidR="006E4E57">
              <w:rPr>
                <w:rFonts w:hint="eastAsia"/>
                <w:color w:val="0D0D0D"/>
                <w:szCs w:val="24"/>
              </w:rPr>
              <w:t>作為裝飾溫馨家庭的小物</w:t>
            </w:r>
            <w:r w:rsidRPr="006E4E57">
              <w:rPr>
                <w:rFonts w:hint="eastAsia"/>
                <w:color w:val="0D0D0D"/>
                <w:szCs w:val="24"/>
              </w:rPr>
              <w:t>。</w:t>
            </w:r>
          </w:p>
        </w:tc>
        <w:tc>
          <w:tcPr>
            <w:tcW w:w="2549" w:type="dxa"/>
            <w:shd w:val="clear" w:color="auto" w:fill="FFFFFF"/>
          </w:tcPr>
          <w:p w:rsidR="006B73DA" w:rsidRPr="006B73DA" w:rsidRDefault="006B73DA" w:rsidP="002061E5">
            <w:pPr>
              <w:pStyle w:val="xl93"/>
              <w:widowControl w:val="0"/>
              <w:kinsoku w:val="0"/>
              <w:snapToGrid w:val="0"/>
              <w:spacing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姜自華(</w:t>
            </w:r>
            <w:r w:rsidRPr="006B73DA">
              <w:rPr>
                <w:rFonts w:hint="eastAsia"/>
                <w:szCs w:val="24"/>
              </w:rPr>
              <w:t>嘉義大學家庭教育研究所研究生</w:t>
            </w:r>
            <w:r w:rsidRPr="006B73DA">
              <w:rPr>
                <w:rFonts w:hint="eastAsia"/>
                <w:color w:val="0D0D0D"/>
                <w:szCs w:val="24"/>
              </w:rPr>
              <w:t>)</w:t>
            </w:r>
          </w:p>
        </w:tc>
      </w:tr>
      <w:tr w:rsidR="006B73DA" w:rsidTr="006E4E57">
        <w:trPr>
          <w:trHeight w:val="70"/>
        </w:trPr>
        <w:tc>
          <w:tcPr>
            <w:tcW w:w="1668" w:type="dxa"/>
            <w:shd w:val="clear" w:color="auto" w:fill="FFFFFF"/>
            <w:vAlign w:val="center"/>
          </w:tcPr>
          <w:p w:rsidR="006B73DA" w:rsidRPr="006B73DA" w:rsidRDefault="006B73DA" w:rsidP="006B73DA">
            <w:pPr>
              <w:spacing w:line="480" w:lineRule="exact"/>
              <w:ind w:firstLineChars="59" w:firstLine="142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2</w:t>
            </w:r>
          </w:p>
          <w:p w:rsidR="006B73DA" w:rsidRPr="006B73DA" w:rsidRDefault="006B73DA" w:rsidP="006B73DA">
            <w:pPr>
              <w:spacing w:line="480" w:lineRule="exact"/>
              <w:ind w:left="991" w:hangingChars="413" w:hanging="991"/>
              <w:jc w:val="center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4/23</w:t>
            </w:r>
            <w:r>
              <w:rPr>
                <w:rFonts w:ascii="標楷體" w:eastAsia="標楷體" w:hAnsi="標楷體" w:hint="eastAsia"/>
                <w:color w:val="0D0D0D"/>
                <w:szCs w:val="24"/>
              </w:rPr>
              <w:t>、</w:t>
            </w: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5/28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3DA" w:rsidRPr="006B73DA" w:rsidRDefault="006B73DA" w:rsidP="006B73DA">
            <w:pPr>
              <w:spacing w:line="480" w:lineRule="exact"/>
              <w:ind w:left="991" w:hangingChars="413" w:hanging="991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小手拉大手</w:t>
            </w:r>
          </w:p>
          <w:p w:rsidR="006B73DA" w:rsidRPr="006B73DA" w:rsidRDefault="006B73DA" w:rsidP="006B73DA">
            <w:pPr>
              <w:spacing w:line="480" w:lineRule="exact"/>
              <w:ind w:left="991" w:hangingChars="413" w:hanging="991"/>
              <w:rPr>
                <w:rFonts w:ascii="標楷體" w:eastAsia="標楷體" w:hAnsi="標楷體"/>
                <w:color w:val="0D0D0D"/>
                <w:szCs w:val="24"/>
              </w:rPr>
            </w:pPr>
            <w:r w:rsidRPr="006B73DA">
              <w:rPr>
                <w:rFonts w:ascii="標楷體" w:eastAsia="標楷體" w:hAnsi="標楷體" w:hint="eastAsia"/>
                <w:color w:val="0D0D0D"/>
                <w:szCs w:val="24"/>
              </w:rPr>
              <w:t>心心相印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73DA" w:rsidRDefault="006B73DA" w:rsidP="006E4E57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1.透過</w:t>
            </w:r>
            <w:r w:rsidR="000B5CF8">
              <w:rPr>
                <w:rFonts w:hint="eastAsia"/>
                <w:color w:val="0D0D0D"/>
                <w:szCs w:val="24"/>
              </w:rPr>
              <w:t>故事，讓孩子懂得知足</w:t>
            </w:r>
            <w:r w:rsidRPr="006B73DA">
              <w:rPr>
                <w:rFonts w:hint="eastAsia"/>
                <w:color w:val="0D0D0D"/>
                <w:szCs w:val="24"/>
              </w:rPr>
              <w:t>感恩。</w:t>
            </w:r>
          </w:p>
          <w:p w:rsidR="006B73DA" w:rsidRPr="006B73DA" w:rsidRDefault="006B73DA" w:rsidP="000B5CF8">
            <w:pPr>
              <w:pStyle w:val="xl93"/>
              <w:widowControl w:val="0"/>
              <w:kinsoku w:val="0"/>
              <w:snapToGrid w:val="0"/>
              <w:spacing w:before="0" w:beforeAutospacing="0" w:after="0" w:afterAutospacing="0"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2.藉由課程安排，讓</w:t>
            </w:r>
            <w:r w:rsidR="00DD31D1">
              <w:rPr>
                <w:rFonts w:hint="eastAsia"/>
                <w:color w:val="0D0D0D"/>
                <w:szCs w:val="24"/>
              </w:rPr>
              <w:t>孩子</w:t>
            </w:r>
            <w:r w:rsidR="000B5CF8">
              <w:rPr>
                <w:rFonts w:hint="eastAsia"/>
                <w:color w:val="0D0D0D"/>
                <w:szCs w:val="24"/>
              </w:rPr>
              <w:t>主動表達感謝之情</w:t>
            </w:r>
            <w:r w:rsidRPr="006B73DA">
              <w:rPr>
                <w:rFonts w:hint="eastAsia"/>
                <w:color w:val="0D0D0D"/>
                <w:szCs w:val="24"/>
              </w:rPr>
              <w:t>。</w:t>
            </w:r>
          </w:p>
        </w:tc>
        <w:tc>
          <w:tcPr>
            <w:tcW w:w="2549" w:type="dxa"/>
            <w:shd w:val="clear" w:color="auto" w:fill="FFFFFF"/>
          </w:tcPr>
          <w:p w:rsidR="006B73DA" w:rsidRPr="006B73DA" w:rsidRDefault="006B73DA" w:rsidP="002061E5">
            <w:pPr>
              <w:pStyle w:val="xl93"/>
              <w:widowControl w:val="0"/>
              <w:kinsoku w:val="0"/>
              <w:snapToGrid w:val="0"/>
              <w:spacing w:line="480" w:lineRule="exact"/>
              <w:jc w:val="left"/>
              <w:rPr>
                <w:color w:val="0D0D0D"/>
                <w:szCs w:val="24"/>
              </w:rPr>
            </w:pPr>
            <w:r w:rsidRPr="006B73DA">
              <w:rPr>
                <w:rFonts w:hint="eastAsia"/>
                <w:color w:val="0D0D0D"/>
                <w:szCs w:val="24"/>
              </w:rPr>
              <w:t>劉佳昕(</w:t>
            </w:r>
            <w:r w:rsidRPr="006B73DA">
              <w:rPr>
                <w:rFonts w:hint="eastAsia"/>
                <w:szCs w:val="24"/>
              </w:rPr>
              <w:t>嘉義大學家庭教育研究所研究生</w:t>
            </w:r>
            <w:r w:rsidRPr="006B73DA">
              <w:rPr>
                <w:rFonts w:hint="eastAsia"/>
                <w:color w:val="0D0D0D"/>
                <w:szCs w:val="24"/>
              </w:rPr>
              <w:t>)</w:t>
            </w:r>
          </w:p>
        </w:tc>
      </w:tr>
    </w:tbl>
    <w:p w:rsidR="00722495" w:rsidRDefault="00722495" w:rsidP="006B73DA">
      <w:pPr>
        <w:numPr>
          <w:ilvl w:val="0"/>
          <w:numId w:val="1"/>
        </w:numPr>
        <w:spacing w:line="480" w:lineRule="exact"/>
        <w:ind w:leftChars="177" w:left="425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子女班</w:t>
      </w:r>
    </w:p>
    <w:p w:rsidR="00722495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十一、經費概算：</w:t>
      </w:r>
    </w:p>
    <w:p w:rsidR="00722495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proofErr w:type="gramStart"/>
      <w:r>
        <w:rPr>
          <w:rFonts w:ascii="標楷體" w:eastAsia="標楷體" w:hAnsi="標楷體" w:hint="eastAsia"/>
          <w:b/>
          <w:color w:val="0D0D0D"/>
          <w:sz w:val="28"/>
        </w:rPr>
        <w:t>105</w:t>
      </w:r>
      <w:proofErr w:type="gramEnd"/>
      <w:r>
        <w:rPr>
          <w:rFonts w:ascii="標楷體" w:eastAsia="標楷體" w:hAnsi="標楷體" w:hint="eastAsia"/>
          <w:b/>
          <w:color w:val="0D0D0D"/>
          <w:sz w:val="28"/>
        </w:rPr>
        <w:t>年度家庭教育分項計畫項目經費一覽表</w:t>
      </w:r>
    </w:p>
    <w:tbl>
      <w:tblPr>
        <w:tblW w:w="0" w:type="auto"/>
        <w:jc w:val="center"/>
        <w:tblInd w:w="-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"/>
        <w:gridCol w:w="1450"/>
        <w:gridCol w:w="914"/>
        <w:gridCol w:w="417"/>
        <w:gridCol w:w="508"/>
        <w:gridCol w:w="969"/>
        <w:gridCol w:w="1178"/>
        <w:gridCol w:w="1053"/>
        <w:gridCol w:w="1902"/>
      </w:tblGrid>
      <w:tr w:rsidR="00722495" w:rsidTr="00C70630">
        <w:trPr>
          <w:cantSplit/>
          <w:trHeight w:val="1"/>
          <w:jc w:val="center"/>
        </w:trPr>
        <w:tc>
          <w:tcPr>
            <w:tcW w:w="87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嘉義縣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28"/>
              </w:rPr>
              <w:t>年度-婚姻教育活動</w:t>
            </w: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「牽手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</w:rPr>
              <w:t>逗陣行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28"/>
              </w:rPr>
              <w:t>~航向新旅程 幸福婚姻」實施計畫(新住民)</w:t>
            </w:r>
          </w:p>
        </w:tc>
      </w:tr>
      <w:tr w:rsidR="00722495" w:rsidTr="00C70630">
        <w:trPr>
          <w:trHeight w:val="1"/>
          <w:jc w:val="center"/>
        </w:trPr>
        <w:tc>
          <w:tcPr>
            <w:tcW w:w="876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計畫經費總額：66,000元，申請金額：</w:t>
            </w:r>
            <w:r>
              <w:rPr>
                <w:rFonts w:ascii="標楷體" w:eastAsia="標楷體" w:hAnsi="標楷體"/>
                <w:color w:val="0D0D0D"/>
                <w:sz w:val="28"/>
              </w:rPr>
              <w:t>66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,000元，自籌款：0元</w:t>
            </w:r>
          </w:p>
        </w:tc>
      </w:tr>
      <w:tr w:rsidR="00722495" w:rsidTr="00C70630">
        <w:trPr>
          <w:trHeight w:val="1"/>
          <w:jc w:val="center"/>
        </w:trPr>
        <w:tc>
          <w:tcPr>
            <w:tcW w:w="18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經費項目</w:t>
            </w:r>
          </w:p>
        </w:tc>
        <w:tc>
          <w:tcPr>
            <w:tcW w:w="398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計畫經費明細</w:t>
            </w:r>
          </w:p>
        </w:tc>
        <w:tc>
          <w:tcPr>
            <w:tcW w:w="29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b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8"/>
              </w:rPr>
              <w:t>教育部</w:t>
            </w:r>
            <w:r>
              <w:rPr>
                <w:rFonts w:ascii="標楷體" w:eastAsia="標楷體" w:hAnsi="標楷體" w:hint="eastAsia"/>
                <w:b/>
                <w:color w:val="0D0D0D"/>
                <w:sz w:val="28"/>
                <w:u w:val="single"/>
              </w:rPr>
              <w:t>核定計畫</w:t>
            </w:r>
            <w:r>
              <w:rPr>
                <w:rFonts w:ascii="標楷體" w:eastAsia="標楷體" w:hAnsi="標楷體" w:hint="eastAsia"/>
                <w:b/>
                <w:color w:val="0D0D0D"/>
                <w:sz w:val="28"/>
              </w:rPr>
              <w:t>經費</w:t>
            </w: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8"/>
              </w:rPr>
              <w:t>（申請縣市請勿填寫）</w:t>
            </w:r>
          </w:p>
        </w:tc>
      </w:tr>
      <w:tr w:rsidR="00722495" w:rsidTr="00C70630">
        <w:trPr>
          <w:trHeight w:val="1"/>
          <w:jc w:val="center"/>
        </w:trPr>
        <w:tc>
          <w:tcPr>
            <w:tcW w:w="181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單價（元）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數量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總價</w:t>
            </w:r>
            <w:r>
              <w:rPr>
                <w:rFonts w:ascii="標楷體" w:eastAsia="標楷體" w:hAnsi="標楷體"/>
                <w:color w:val="0D0D0D"/>
                <w:sz w:val="28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元</w:t>
            </w:r>
            <w:r>
              <w:rPr>
                <w:rFonts w:ascii="標楷體" w:eastAsia="標楷體" w:hAnsi="標楷體"/>
                <w:color w:val="0D0D0D"/>
                <w:sz w:val="28"/>
              </w:rPr>
              <w:t>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說明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金額（元）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說明</w:t>
            </w:r>
          </w:p>
        </w:tc>
      </w:tr>
      <w:tr w:rsidR="00722495" w:rsidTr="00C70630">
        <w:trPr>
          <w:trHeight w:val="127"/>
          <w:jc w:val="center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業</w:t>
            </w: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</w:rPr>
              <w:t>務</w:t>
            </w:r>
            <w:proofErr w:type="gramEnd"/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lastRenderedPageBreak/>
              <w:t>外聘講師鐘點費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</w:rPr>
              <w:t>1,600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元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12小時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</w:rPr>
              <w:t>19,200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外聘(夫妻班)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3小時</w:t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sym w:font="Wingdings 2" w:char="F0CD"/>
            </w:r>
            <w:r>
              <w:rPr>
                <w:rFonts w:ascii="標楷體" w:eastAsia="標楷體" w:hAnsi="標楷體"/>
                <w:color w:val="0D0D0D"/>
                <w:sz w:val="16"/>
              </w:rPr>
              <w:t>4</w:t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t xml:space="preserve">場次 </w:t>
            </w:r>
          </w:p>
        </w:tc>
      </w:tr>
      <w:tr w:rsidR="00722495" w:rsidTr="00C70630">
        <w:trPr>
          <w:trHeight w:val="851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28"/>
              </w:rPr>
              <w:t>鐘點費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</w:rPr>
              <w:t>8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00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12小時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9,600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16"/>
              </w:rPr>
              <w:t>內聘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16"/>
              </w:rPr>
              <w:t>(子女班)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/>
                <w:color w:val="0D0D0D"/>
                <w:sz w:val="16"/>
              </w:rPr>
              <w:t>3</w:t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t>小時</w:t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t>4場</w:t>
            </w:r>
          </w:p>
        </w:tc>
      </w:tr>
      <w:tr w:rsidR="00722495" w:rsidTr="00C70630">
        <w:trPr>
          <w:trHeight w:val="283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交通費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1,500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1式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1,500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講師往返交通費，核實支應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依國內出差旅費報告要點規定核實支應</w:t>
            </w:r>
          </w:p>
        </w:tc>
      </w:tr>
      <w:tr w:rsidR="00722495" w:rsidTr="00C70630">
        <w:trPr>
          <w:trHeight w:val="218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場地布置費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1</w:t>
            </w:r>
            <w:r>
              <w:rPr>
                <w:rFonts w:ascii="標楷體" w:eastAsia="標楷體" w:hAnsi="標楷體"/>
                <w:color w:val="0D0D0D"/>
                <w:sz w:val="28"/>
              </w:rPr>
              <w:t>,000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元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4式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4</w:t>
            </w:r>
            <w:r>
              <w:rPr>
                <w:rFonts w:ascii="標楷體" w:eastAsia="標楷體" w:hAnsi="標楷體"/>
                <w:color w:val="0D0D0D"/>
                <w:sz w:val="28"/>
              </w:rPr>
              <w:t>,000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紅布條、宣傳海報，核實支應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</w:tr>
      <w:tr w:rsidR="00722495" w:rsidTr="00C70630">
        <w:trPr>
          <w:trHeight w:val="65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補充保費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576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1式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576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講師費*2%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</w:tr>
      <w:tr w:rsidR="00722495" w:rsidTr="00C70630">
        <w:trPr>
          <w:trHeight w:val="65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膳費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/>
                <w:color w:val="0D0D0D"/>
                <w:sz w:val="28"/>
              </w:rPr>
              <w:t>80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元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220份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17,600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含工作人員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55份</w:t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t>4場次</w:t>
            </w:r>
          </w:p>
        </w:tc>
      </w:tr>
      <w:tr w:rsidR="00722495" w:rsidTr="00C70630">
        <w:trPr>
          <w:trHeight w:val="374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印刷費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30元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200份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6,000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含講義資料、成果製作、文件影印、獎狀印製，核實支應。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50份</w:t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t>4場次</w:t>
            </w:r>
          </w:p>
        </w:tc>
      </w:tr>
      <w:tr w:rsidR="00722495" w:rsidTr="00C70630">
        <w:trPr>
          <w:trHeight w:val="65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材料費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50元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100份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5,000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子女班帶領活動材料費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25份</w:t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0D0D0D"/>
                <w:sz w:val="16"/>
              </w:rPr>
              <w:t>4場次</w:t>
            </w:r>
          </w:p>
        </w:tc>
      </w:tr>
      <w:tr w:rsidR="00722495" w:rsidTr="00C70630">
        <w:trPr>
          <w:trHeight w:val="65"/>
          <w:jc w:val="center"/>
        </w:trPr>
        <w:tc>
          <w:tcPr>
            <w:tcW w:w="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小計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63,476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  <w:tr w:rsidR="00722495" w:rsidTr="00C70630">
        <w:trPr>
          <w:trHeight w:val="546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雜支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2,524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1式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2,524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 w:rsidRPr="00A6234D">
              <w:rPr>
                <w:rFonts w:ascii="標楷體" w:eastAsia="標楷體" w:hAnsi="標楷體" w:hint="eastAsia"/>
                <w:color w:val="0D0D0D"/>
                <w:sz w:val="16"/>
              </w:rPr>
              <w:t>含補充保費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16"/>
              </w:rPr>
              <w:t>.凡前項費用未列之辦公事務費用屬之。如文具用品、紙張、資訊耗材、資料來、郵資等屬之。</w:t>
            </w:r>
          </w:p>
          <w:p w:rsidR="00722495" w:rsidRDefault="00722495" w:rsidP="00855E70">
            <w:pPr>
              <w:spacing w:line="240" w:lineRule="exact"/>
              <w:rPr>
                <w:rFonts w:ascii="標楷體" w:eastAsia="標楷體" w:hAnsi="標楷體"/>
                <w:color w:val="0D0D0D"/>
                <w:sz w:val="16"/>
              </w:rPr>
            </w:pPr>
            <w:r>
              <w:rPr>
                <w:rFonts w:ascii="標楷體" w:eastAsia="標楷體" w:hAnsi="標楷體" w:hint="eastAsia"/>
                <w:color w:val="0D0D0D"/>
                <w:sz w:val="16"/>
              </w:rPr>
              <w:t>二.有關雜支已涵蓋之經費項目，除特別需求外，不得重複編列。</w:t>
            </w:r>
          </w:p>
        </w:tc>
      </w:tr>
      <w:tr w:rsidR="00722495" w:rsidTr="00C70630">
        <w:trPr>
          <w:trHeight w:val="114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合</w:t>
            </w:r>
            <w:r>
              <w:rPr>
                <w:rFonts w:ascii="標楷體" w:eastAsia="標楷體" w:hAnsi="標楷體"/>
                <w:color w:val="0D0D0D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計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66,000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</w:p>
        </w:tc>
      </w:tr>
      <w:tr w:rsidR="00722495" w:rsidTr="00C70630">
        <w:trPr>
          <w:trHeight w:val="639"/>
          <w:jc w:val="center"/>
        </w:trPr>
        <w:tc>
          <w:tcPr>
            <w:tcW w:w="8760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sz w:val="28"/>
              </w:rPr>
              <w:t>教育部核定計畫經費情形</w:t>
            </w:r>
            <w:r>
              <w:rPr>
                <w:rFonts w:ascii="標楷體" w:eastAsia="標楷體" w:hAnsi="標楷體" w:hint="eastAsia"/>
                <w:color w:val="0D0D0D"/>
                <w:sz w:val="28"/>
              </w:rPr>
              <w:t>（申請縣市請勿填寫）：</w:t>
            </w:r>
          </w:p>
        </w:tc>
      </w:tr>
      <w:tr w:rsidR="00722495" w:rsidTr="00C70630">
        <w:trPr>
          <w:trHeight w:val="998"/>
          <w:jc w:val="center"/>
        </w:trPr>
        <w:tc>
          <w:tcPr>
            <w:tcW w:w="3150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教育部核定計畫金額：</w:t>
            </w: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元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教育部補助金額：</w:t>
            </w: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元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地方政府自籌金額：</w:t>
            </w:r>
          </w:p>
          <w:p w:rsidR="00722495" w:rsidRDefault="00722495" w:rsidP="00855E70">
            <w:pPr>
              <w:spacing w:line="480" w:lineRule="exact"/>
              <w:rPr>
                <w:rFonts w:ascii="標楷體" w:eastAsia="標楷體" w:hAnsi="標楷體"/>
                <w:color w:val="0D0D0D"/>
                <w:sz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</w:rPr>
              <w:t>元</w:t>
            </w:r>
          </w:p>
        </w:tc>
      </w:tr>
    </w:tbl>
    <w:p w:rsidR="00722495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十二、預期效益</w:t>
      </w:r>
      <w:r>
        <w:rPr>
          <w:rFonts w:ascii="標楷體" w:eastAsia="標楷體" w:hAnsi="標楷體" w:hint="eastAsia"/>
          <w:color w:val="0D0D0D"/>
          <w:sz w:val="28"/>
        </w:rPr>
        <w:br/>
        <w:t>（</w:t>
      </w:r>
      <w:proofErr w:type="gramStart"/>
      <w:r>
        <w:rPr>
          <w:rFonts w:ascii="標楷體" w:eastAsia="標楷體" w:hAnsi="標楷體" w:hint="eastAsia"/>
          <w:color w:val="0D0D0D"/>
          <w:sz w:val="28"/>
        </w:rPr>
        <w:t>ㄧ</w:t>
      </w:r>
      <w:proofErr w:type="gramEnd"/>
      <w:r>
        <w:rPr>
          <w:rFonts w:ascii="標楷體" w:eastAsia="標楷體" w:hAnsi="標楷體" w:hint="eastAsia"/>
          <w:color w:val="0D0D0D"/>
          <w:sz w:val="28"/>
        </w:rPr>
        <w:t>）預計辦理4場次，200人次受惠。</w:t>
      </w:r>
    </w:p>
    <w:p w:rsidR="00722495" w:rsidRDefault="00722495" w:rsidP="00722495">
      <w:pPr>
        <w:spacing w:line="480" w:lineRule="exact"/>
        <w:rPr>
          <w:rFonts w:ascii="標楷體" w:eastAsia="標楷體" w:hAnsi="標楷體"/>
          <w:color w:val="0D0D0D"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>（二）透過課程，讓新住民夫妻學習更多的技巧來營造彼此關係，促進夫妻情感。</w:t>
      </w:r>
    </w:p>
    <w:p w:rsidR="003B5597" w:rsidRDefault="003B5597"/>
    <w:sectPr w:rsidR="003B55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04C1"/>
    <w:multiLevelType w:val="singleLevel"/>
    <w:tmpl w:val="00000000"/>
    <w:lvl w:ilvl="0">
      <w:start w:val="2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5"/>
    <w:rsid w:val="00085103"/>
    <w:rsid w:val="000B5CF8"/>
    <w:rsid w:val="002061E5"/>
    <w:rsid w:val="002D487D"/>
    <w:rsid w:val="00375ED8"/>
    <w:rsid w:val="003B5597"/>
    <w:rsid w:val="005A7C37"/>
    <w:rsid w:val="006B73DA"/>
    <w:rsid w:val="006E4E57"/>
    <w:rsid w:val="00722495"/>
    <w:rsid w:val="007D4B27"/>
    <w:rsid w:val="0080152E"/>
    <w:rsid w:val="00855E70"/>
    <w:rsid w:val="00C23436"/>
    <w:rsid w:val="00C70630"/>
    <w:rsid w:val="00DD31D1"/>
    <w:rsid w:val="00F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93">
    <w:name w:val="xl93"/>
    <w:basedOn w:val="a"/>
    <w:rsid w:val="00722495"/>
    <w:pPr>
      <w:widowControl/>
      <w:spacing w:before="100" w:beforeAutospacing="1" w:after="100" w:afterAutospacing="1"/>
      <w:jc w:val="center"/>
    </w:pPr>
    <w:rPr>
      <w:rFonts w:ascii="標楷體" w:eastAsia="標楷體" w:hAnsi="標楷體"/>
      <w:kern w:val="0"/>
    </w:rPr>
  </w:style>
  <w:style w:type="character" w:customStyle="1" w:styleId="pg-1ff3">
    <w:name w:val="pg-1ff3"/>
    <w:basedOn w:val="a0"/>
    <w:rsid w:val="00F04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93">
    <w:name w:val="xl93"/>
    <w:basedOn w:val="a"/>
    <w:rsid w:val="00722495"/>
    <w:pPr>
      <w:widowControl/>
      <w:spacing w:before="100" w:beforeAutospacing="1" w:after="100" w:afterAutospacing="1"/>
      <w:jc w:val="center"/>
    </w:pPr>
    <w:rPr>
      <w:rFonts w:ascii="標楷體" w:eastAsia="標楷體" w:hAnsi="標楷體"/>
      <w:kern w:val="0"/>
    </w:rPr>
  </w:style>
  <w:style w:type="character" w:customStyle="1" w:styleId="pg-1ff3">
    <w:name w:val="pg-1ff3"/>
    <w:basedOn w:val="a0"/>
    <w:rsid w:val="00F0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2016-01-18T01:12:00Z</dcterms:created>
  <dcterms:modified xsi:type="dcterms:W3CDTF">2016-03-21T03:00:00Z</dcterms:modified>
</cp:coreProperties>
</file>