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1514" w14:textId="72E76A5D" w:rsidR="00BD707A" w:rsidRPr="00BD707A" w:rsidRDefault="00450A73" w:rsidP="00D872D5">
      <w:pPr>
        <w:spacing w:line="360" w:lineRule="exact"/>
        <w:ind w:right="280"/>
        <w:jc w:val="right"/>
      </w:pPr>
      <w:r>
        <w:rPr>
          <w:rFonts w:ascii="標楷體" w:eastAsia="標楷體" w:hAnsi="標楷體"/>
          <w:sz w:val="28"/>
        </w:rPr>
        <w:t>國立嘉義大學師資培育公費生</w:t>
      </w:r>
      <w:r w:rsidRPr="00343FCE">
        <w:rPr>
          <w:rFonts w:ascii="標楷體" w:eastAsia="標楷體" w:hAnsi="標楷體"/>
          <w:b/>
          <w:sz w:val="28"/>
          <w:szCs w:val="28"/>
        </w:rPr>
        <w:t>學期表現檢核表</w:t>
      </w:r>
      <w:r w:rsidRPr="00343FCE">
        <w:rPr>
          <w:rFonts w:ascii="標楷體" w:eastAsia="標楷體" w:hAnsi="標楷體"/>
          <w:sz w:val="28"/>
          <w:szCs w:val="28"/>
        </w:rPr>
        <w:t>【</w:t>
      </w:r>
      <w:r w:rsidR="00343FCE" w:rsidRPr="00343FCE">
        <w:rPr>
          <w:rFonts w:ascii="標楷體" w:eastAsia="標楷體" w:hAnsi="標楷體" w:hint="eastAsia"/>
          <w:b/>
          <w:sz w:val="28"/>
          <w:szCs w:val="28"/>
        </w:rPr>
        <w:t>個人發展歷程檔案整體表現評估</w:t>
      </w:r>
      <w:r w:rsidRPr="00343FCE">
        <w:rPr>
          <w:rFonts w:ascii="標楷體" w:eastAsia="標楷體" w:hAnsi="標楷體"/>
          <w:sz w:val="28"/>
          <w:szCs w:val="28"/>
        </w:rPr>
        <w:t>】</w:t>
      </w:r>
      <w:r w:rsidR="00493C9D">
        <w:rPr>
          <w:rFonts w:ascii="標楷體" w:eastAsia="標楷體" w:hAnsi="標楷體" w:hint="eastAsia"/>
          <w:sz w:val="28"/>
        </w:rPr>
        <w:t xml:space="preserve">           </w:t>
      </w:r>
      <w:r w:rsidR="00493C9D" w:rsidRPr="00493C9D">
        <w:rPr>
          <w:rFonts w:ascii="標楷體" w:eastAsia="標楷體" w:hAnsi="標楷體" w:hint="eastAsia"/>
          <w:sz w:val="20"/>
        </w:rPr>
        <w:t xml:space="preserve"> 110年</w:t>
      </w:r>
      <w:r w:rsidR="00AD2584">
        <w:rPr>
          <w:rFonts w:ascii="標楷體" w:eastAsia="標楷體" w:hAnsi="標楷體" w:hint="eastAsia"/>
          <w:sz w:val="20"/>
        </w:rPr>
        <w:t>9</w:t>
      </w:r>
      <w:r w:rsidR="00493C9D" w:rsidRPr="00493C9D">
        <w:rPr>
          <w:rFonts w:ascii="標楷體" w:eastAsia="標楷體" w:hAnsi="標楷體" w:hint="eastAsia"/>
          <w:sz w:val="20"/>
        </w:rPr>
        <w:t>月1日版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960"/>
        <w:gridCol w:w="1067"/>
        <w:gridCol w:w="595"/>
        <w:gridCol w:w="644"/>
        <w:gridCol w:w="797"/>
        <w:gridCol w:w="826"/>
        <w:gridCol w:w="869"/>
        <w:gridCol w:w="781"/>
        <w:gridCol w:w="771"/>
        <w:gridCol w:w="751"/>
        <w:gridCol w:w="579"/>
        <w:gridCol w:w="436"/>
        <w:gridCol w:w="586"/>
        <w:gridCol w:w="589"/>
        <w:gridCol w:w="1070"/>
        <w:gridCol w:w="813"/>
        <w:gridCol w:w="426"/>
        <w:gridCol w:w="950"/>
        <w:gridCol w:w="966"/>
        <w:gridCol w:w="1360"/>
      </w:tblGrid>
      <w:tr w:rsidR="00913199" w14:paraId="7603B659" w14:textId="56B1239D" w:rsidTr="00DB52AC">
        <w:trPr>
          <w:trHeight w:val="289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6C323F" w14:textId="31E325E0" w:rsidR="00913199" w:rsidRPr="00BD707A" w:rsidRDefault="00913199" w:rsidP="00F47C1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3199">
              <w:rPr>
                <w:rFonts w:ascii="標楷體" w:eastAsia="標楷體" w:hAnsi="標楷體" w:hint="eastAsia"/>
                <w:szCs w:val="28"/>
              </w:rPr>
              <w:t>學系</w:t>
            </w:r>
            <w:r w:rsidRPr="00913199">
              <w:rPr>
                <w:rFonts w:ascii="標楷體" w:eastAsia="標楷體" w:hAnsi="標楷體"/>
                <w:szCs w:val="28"/>
              </w:rPr>
              <w:t xml:space="preserve">：         </w:t>
            </w:r>
            <w:r w:rsidRPr="00913199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913199">
              <w:rPr>
                <w:rFonts w:ascii="標楷體" w:eastAsia="標楷體" w:hAnsi="標楷體"/>
                <w:szCs w:val="28"/>
              </w:rPr>
              <w:t xml:space="preserve">班級：       </w:t>
            </w:r>
            <w:r w:rsidRPr="00913199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913199">
              <w:rPr>
                <w:rFonts w:ascii="標楷體" w:eastAsia="標楷體" w:hAnsi="標楷體"/>
                <w:szCs w:val="28"/>
              </w:rPr>
              <w:t xml:space="preserve">學號：       </w:t>
            </w:r>
            <w:r w:rsidRPr="00913199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913199">
              <w:rPr>
                <w:rFonts w:ascii="標楷體" w:eastAsia="標楷體" w:hAnsi="標楷體"/>
                <w:szCs w:val="28"/>
              </w:rPr>
              <w:t>姓名：</w:t>
            </w:r>
            <w:r w:rsidR="00F47C1D" w:rsidRPr="00BD707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13199" w14:paraId="41B99875" w14:textId="77777777" w:rsidTr="00DB52AC">
        <w:trPr>
          <w:trHeight w:val="289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E8C426" w14:textId="16A75B68" w:rsidR="00913199" w:rsidRPr="00913199" w:rsidRDefault="00913199" w:rsidP="00343FCE">
            <w:pPr>
              <w:pStyle w:val="11"/>
              <w:spacing w:line="300" w:lineRule="exact"/>
              <w:ind w:left="0"/>
              <w:jc w:val="both"/>
              <w:rPr>
                <w:rFonts w:ascii="標楷體" w:eastAsia="標楷體" w:hAnsi="標楷體"/>
                <w:szCs w:val="28"/>
              </w:rPr>
            </w:pPr>
            <w:r w:rsidRPr="005361EE">
              <w:rPr>
                <w:rFonts w:ascii="Times New Roman" w:eastAsia="標楷體" w:hAnsi="Times New Roman" w:cs="Times New Roman"/>
                <w:sz w:val="22"/>
              </w:rPr>
              <w:t>培育資格：</w:t>
            </w:r>
            <w:r w:rsidR="000B1574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</w:t>
            </w:r>
            <w:r w:rsidRPr="005361E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</w:t>
            </w:r>
            <w:r w:rsidR="000B1574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分發學年度：</w:t>
            </w:r>
            <w:r w:rsidRPr="005361E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分發縣市：</w:t>
            </w:r>
            <w:r w:rsidR="00F47C1D" w:rsidRPr="00F47C1D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</w:t>
            </w:r>
            <w:r w:rsidR="00343FC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/</w:t>
            </w:r>
            <w:r w:rsidRPr="005361EE">
              <w:rPr>
                <w:rFonts w:ascii="Times New Roman" w:eastAsia="標楷體" w:hAnsi="Times New Roman" w:cs="Times New Roman"/>
                <w:sz w:val="22"/>
              </w:rPr>
              <w:t>通過教學知能</w:t>
            </w:r>
            <w:r w:rsidR="004310BE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="004310BE" w:rsidRPr="004310BE">
              <w:rPr>
                <w:rFonts w:ascii="Times New Roman" w:eastAsia="標楷體" w:hAnsi="Times New Roman" w:cs="Times New Roman"/>
                <w:sz w:val="22"/>
              </w:rPr>
              <w:t>精熟</w:t>
            </w:r>
            <w:r w:rsidR="004310B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</w:t>
            </w:r>
            <w:r w:rsidR="004310B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科；基礎</w:t>
            </w:r>
            <w:r w:rsidR="004310B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="004310B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科</w:t>
            </w:r>
            <w:r w:rsidR="006B272A" w:rsidRPr="00D52A51">
              <w:rPr>
                <w:rFonts w:ascii="標楷體" w:eastAsia="標楷體" w:hAnsi="標楷體" w:cs="Times New Roman" w:hint="eastAsia"/>
                <w:sz w:val="22"/>
                <w:u w:val="single"/>
              </w:rPr>
              <w:t>□</w:t>
            </w:r>
            <w:r w:rsidR="001537A5" w:rsidRPr="00D52A51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無</w:t>
            </w:r>
            <w:r w:rsidR="006B272A" w:rsidRPr="00D52A51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須此項</w:t>
            </w:r>
          </w:p>
        </w:tc>
      </w:tr>
      <w:tr w:rsidR="0078101D" w14:paraId="5233E7CC" w14:textId="52B8FC3C" w:rsidTr="0078101D">
        <w:trPr>
          <w:trHeight w:hRule="exact" w:val="345"/>
        </w:trPr>
        <w:tc>
          <w:tcPr>
            <w:tcW w:w="132" w:type="pct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30347D6E" w14:textId="77777777" w:rsidR="00FC57B8" w:rsidRPr="00DB52AC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學年度</w:t>
            </w:r>
          </w:p>
          <w:p w14:paraId="2AFF1B02" w14:textId="77777777" w:rsidR="00FC57B8" w:rsidRPr="00DB52AC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14:paraId="6AA8E3AF" w14:textId="68BCB881" w:rsidR="008B5879" w:rsidRPr="00DB52AC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學期</w:t>
            </w:r>
          </w:p>
        </w:tc>
        <w:tc>
          <w:tcPr>
            <w:tcW w:w="295" w:type="pct"/>
            <w:vMerge w:val="restart"/>
            <w:shd w:val="clear" w:color="auto" w:fill="FFFFFF"/>
          </w:tcPr>
          <w:p w14:paraId="56CC803C" w14:textId="674BFA66" w:rsidR="008B5879" w:rsidRPr="00DB52AC" w:rsidRDefault="00343FCE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公費</w:t>
            </w:r>
            <w:r w:rsidR="008B5879" w:rsidRPr="00DB52AC"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</w:p>
          <w:p w14:paraId="5C7F938A" w14:textId="7E606DD0" w:rsidR="008B5879" w:rsidRPr="00DB52AC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自我檢核</w:t>
            </w:r>
          </w:p>
          <w:p w14:paraId="16706FB3" w14:textId="69ED4E30" w:rsidR="008B5879" w:rsidRPr="00DB52AC" w:rsidRDefault="00343FCE" w:rsidP="00BD707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是否依</w:t>
            </w:r>
            <w:r w:rsidR="008B5879" w:rsidRPr="00DB52AC">
              <w:rPr>
                <w:rFonts w:ascii="標楷體" w:eastAsia="標楷體" w:hAnsi="標楷體" w:hint="eastAsia"/>
                <w:sz w:val="18"/>
                <w:szCs w:val="18"/>
              </w:rPr>
              <w:t>原規劃修讀計畫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執行</w:t>
            </w:r>
          </w:p>
        </w:tc>
        <w:tc>
          <w:tcPr>
            <w:tcW w:w="328" w:type="pct"/>
            <w:vMerge w:val="restart"/>
            <w:shd w:val="clear" w:color="auto" w:fill="FFFFFF"/>
          </w:tcPr>
          <w:p w14:paraId="5461B39B" w14:textId="40435201" w:rsidR="008B5879" w:rsidRPr="00DB52AC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輔</w:t>
            </w:r>
            <w:r w:rsidR="00343FCE" w:rsidRPr="00DB52AC">
              <w:rPr>
                <w:rFonts w:ascii="標楷體" w:eastAsia="標楷體" w:hAnsi="標楷體" w:hint="eastAsia"/>
                <w:sz w:val="18"/>
                <w:szCs w:val="18"/>
              </w:rPr>
              <w:t>導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導師</w:t>
            </w:r>
          </w:p>
          <w:p w14:paraId="4A295E0C" w14:textId="780F02BF" w:rsidR="008B5879" w:rsidRPr="00DB52AC" w:rsidRDefault="008B5879" w:rsidP="00343FC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檢核</w:t>
            </w:r>
            <w:r w:rsidR="00343FCE" w:rsidRPr="00DB52AC">
              <w:rPr>
                <w:rFonts w:ascii="標楷體" w:eastAsia="標楷體" w:hAnsi="標楷體" w:hint="eastAsia"/>
                <w:sz w:val="18"/>
                <w:szCs w:val="18"/>
              </w:rPr>
              <w:t>是否依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原規劃修讀計畫</w:t>
            </w:r>
            <w:r w:rsidR="00343FCE" w:rsidRPr="00DB52AC">
              <w:rPr>
                <w:rFonts w:ascii="標楷體" w:eastAsia="標楷體" w:hAnsi="標楷體" w:hint="eastAsia"/>
                <w:sz w:val="18"/>
                <w:szCs w:val="18"/>
              </w:rPr>
              <w:t>執行</w:t>
            </w:r>
          </w:p>
        </w:tc>
        <w:tc>
          <w:tcPr>
            <w:tcW w:w="183" w:type="pct"/>
            <w:vMerge w:val="restart"/>
            <w:shd w:val="clear" w:color="auto" w:fill="FFFFFF"/>
          </w:tcPr>
          <w:p w14:paraId="6D7437D8" w14:textId="7A65D944" w:rsidR="008B5879" w:rsidRPr="00DB52AC" w:rsidRDefault="008B5879" w:rsidP="00BD707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智育成績</w:t>
            </w:r>
          </w:p>
          <w:p w14:paraId="7840483E" w14:textId="77777777" w:rsidR="008B5879" w:rsidRPr="00DB52AC" w:rsidRDefault="008B5879" w:rsidP="0091319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14:paraId="05CB7118" w14:textId="55207D4A" w:rsidR="008B5879" w:rsidRPr="00DB52AC" w:rsidRDefault="008B5879" w:rsidP="0091319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班級排名</w:t>
            </w:r>
          </w:p>
        </w:tc>
        <w:tc>
          <w:tcPr>
            <w:tcW w:w="198" w:type="pct"/>
            <w:vMerge w:val="restart"/>
            <w:shd w:val="clear" w:color="auto" w:fill="FFFFFF"/>
          </w:tcPr>
          <w:p w14:paraId="6C3F4481" w14:textId="31B18EF9" w:rsidR="008B5879" w:rsidRPr="00DB52AC" w:rsidRDefault="008B5879" w:rsidP="00BD707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操行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成績</w:t>
            </w:r>
          </w:p>
        </w:tc>
        <w:tc>
          <w:tcPr>
            <w:tcW w:w="245" w:type="pct"/>
            <w:vMerge w:val="restart"/>
            <w:shd w:val="clear" w:color="auto" w:fill="FFFFFF"/>
          </w:tcPr>
          <w:p w14:paraId="2662D92F" w14:textId="77777777" w:rsidR="0078101D" w:rsidRPr="00D52A51" w:rsidRDefault="008B5879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普通</w:t>
            </w:r>
          </w:p>
          <w:p w14:paraId="233F1CA9" w14:textId="151D76CA" w:rsidR="008B5879" w:rsidRPr="00D52A51" w:rsidRDefault="008B5879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課程</w:t>
            </w:r>
          </w:p>
          <w:p w14:paraId="465142B6" w14:textId="77777777" w:rsidR="008B5879" w:rsidRPr="00D52A51" w:rsidRDefault="008B5879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應修</w:t>
            </w:r>
          </w:p>
          <w:p w14:paraId="49E6CF76" w14:textId="1F07193B" w:rsidR="008B5879" w:rsidRPr="00D52A51" w:rsidRDefault="008B5879" w:rsidP="002911ED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  <w:p w14:paraId="41B654A1" w14:textId="77777777" w:rsidR="008B5879" w:rsidRPr="00D52A51" w:rsidRDefault="008B5879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  <w:p w14:paraId="68FEA516" w14:textId="0AD985AD" w:rsidR="008701EA" w:rsidRPr="00D52A51" w:rsidRDefault="008701EA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6"/>
                <w:szCs w:val="18"/>
              </w:rPr>
              <w:t>註1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AF1A34" w14:textId="4348C906" w:rsidR="008B5879" w:rsidRPr="00D52A51" w:rsidRDefault="008B5879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教育學程</w:t>
            </w:r>
          </w:p>
        </w:tc>
        <w:tc>
          <w:tcPr>
            <w:tcW w:w="477" w:type="pct"/>
            <w:gridSpan w:val="2"/>
            <w:shd w:val="clear" w:color="auto" w:fill="FFFFFF"/>
          </w:tcPr>
          <w:p w14:paraId="49B17F12" w14:textId="61CB2FE0" w:rsidR="008B5879" w:rsidRPr="00D52A51" w:rsidRDefault="008B5879" w:rsidP="005361E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第二專長</w:t>
            </w:r>
          </w:p>
        </w:tc>
        <w:tc>
          <w:tcPr>
            <w:tcW w:w="543" w:type="pct"/>
            <w:gridSpan w:val="3"/>
            <w:shd w:val="clear" w:color="auto" w:fill="FFFFFF"/>
          </w:tcPr>
          <w:p w14:paraId="1830C022" w14:textId="77777777" w:rsidR="008B5879" w:rsidRPr="00D52A51" w:rsidRDefault="008B5879" w:rsidP="0009327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義務服務</w:t>
            </w:r>
          </w:p>
          <w:p w14:paraId="71CD50A3" w14:textId="27C09399" w:rsidR="008B5879" w:rsidRPr="00D52A51" w:rsidRDefault="008B5879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shd w:val="clear" w:color="auto" w:fill="FFFFFF"/>
          </w:tcPr>
          <w:p w14:paraId="5DD54F5C" w14:textId="5A672630" w:rsidR="008B5879" w:rsidRPr="00D52A51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語文能力</w:t>
            </w:r>
          </w:p>
        </w:tc>
        <w:tc>
          <w:tcPr>
            <w:tcW w:w="329" w:type="pct"/>
            <w:vMerge w:val="restart"/>
            <w:shd w:val="clear" w:color="auto" w:fill="FFFFFF"/>
          </w:tcPr>
          <w:p w14:paraId="7927B638" w14:textId="77777777" w:rsidR="00343FCE" w:rsidRPr="00D52A51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基本</w:t>
            </w:r>
          </w:p>
          <w:p w14:paraId="0627E903" w14:textId="123793A4" w:rsidR="008B5879" w:rsidRPr="00D52A51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能力</w:t>
            </w:r>
          </w:p>
          <w:p w14:paraId="0D9C3854" w14:textId="2BC21EE9" w:rsidR="008B5879" w:rsidRPr="00D52A51" w:rsidRDefault="006B1071" w:rsidP="007E2E07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8B5879" w:rsidRPr="00D52A51">
              <w:rPr>
                <w:rFonts w:ascii="標楷體" w:eastAsia="標楷體" w:hAnsi="標楷體" w:hint="eastAsia"/>
                <w:sz w:val="18"/>
                <w:szCs w:val="18"/>
              </w:rPr>
              <w:t>校內</w:t>
            </w: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50" w:type="pct"/>
            <w:vMerge w:val="restart"/>
            <w:shd w:val="clear" w:color="auto" w:fill="FFFFFF"/>
          </w:tcPr>
          <w:p w14:paraId="164AE1E9" w14:textId="77777777" w:rsidR="008B5879" w:rsidRPr="00D52A51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教學知能</w:t>
            </w:r>
          </w:p>
          <w:p w14:paraId="23DE1D3F" w14:textId="35187138" w:rsidR="00FC57B8" w:rsidRPr="00D52A51" w:rsidRDefault="00FC57B8" w:rsidP="00BD707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b/>
                <w:sz w:val="18"/>
                <w:szCs w:val="18"/>
              </w:rPr>
              <w:t>(幼教不適用)</w:t>
            </w:r>
          </w:p>
        </w:tc>
        <w:tc>
          <w:tcPr>
            <w:tcW w:w="423" w:type="pct"/>
            <w:gridSpan w:val="2"/>
            <w:vMerge w:val="restart"/>
            <w:shd w:val="clear" w:color="auto" w:fill="FFFFFF"/>
          </w:tcPr>
          <w:p w14:paraId="58EED3BF" w14:textId="0333348D" w:rsidR="008B5879" w:rsidRPr="00D52A51" w:rsidRDefault="008B5879" w:rsidP="008B587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教學實務</w:t>
            </w:r>
          </w:p>
        </w:tc>
        <w:tc>
          <w:tcPr>
            <w:tcW w:w="297" w:type="pct"/>
            <w:vMerge w:val="restart"/>
            <w:shd w:val="clear" w:color="auto" w:fill="FFFFFF"/>
          </w:tcPr>
          <w:p w14:paraId="0F94C3AF" w14:textId="1CB567B5" w:rsidR="008B5879" w:rsidRPr="00D52A51" w:rsidRDefault="008B5879" w:rsidP="007E2E07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大五</w:t>
            </w:r>
            <w:r w:rsidRPr="00D52A51">
              <w:rPr>
                <w:rFonts w:ascii="標楷體" w:eastAsia="標楷體" w:hAnsi="標楷體"/>
                <w:sz w:val="18"/>
                <w:szCs w:val="18"/>
              </w:rPr>
              <w:t>教學實習</w:t>
            </w:r>
          </w:p>
        </w:tc>
        <w:tc>
          <w:tcPr>
            <w:tcW w:w="418" w:type="pct"/>
            <w:vMerge w:val="restart"/>
            <w:tcBorders>
              <w:right w:val="single" w:sz="12" w:space="0" w:color="auto"/>
            </w:tcBorders>
            <w:shd w:val="clear" w:color="auto" w:fill="FFFFFF"/>
          </w:tcPr>
          <w:p w14:paraId="3FE71792" w14:textId="1DC86AEA" w:rsidR="008B5879" w:rsidRPr="00D52A51" w:rsidRDefault="008B5879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簽章</w:t>
            </w:r>
          </w:p>
        </w:tc>
      </w:tr>
      <w:tr w:rsidR="0078101D" w14:paraId="62AD8E3A" w14:textId="77777777" w:rsidTr="0078101D">
        <w:trPr>
          <w:trHeight w:hRule="exact" w:val="106"/>
        </w:trPr>
        <w:tc>
          <w:tcPr>
            <w:tcW w:w="132" w:type="pct"/>
            <w:vMerge/>
            <w:tcBorders>
              <w:left w:val="single" w:sz="12" w:space="0" w:color="auto"/>
            </w:tcBorders>
            <w:shd w:val="clear" w:color="auto" w:fill="FFFFFF"/>
          </w:tcPr>
          <w:p w14:paraId="555A3E78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14:paraId="021B7776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14:paraId="72C292A0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FFFFFF"/>
          </w:tcPr>
          <w:p w14:paraId="2D7FFD23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14:paraId="221EFF9C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14:paraId="1A40B99F" w14:textId="77777777" w:rsidR="007E2E07" w:rsidRPr="00DB52AC" w:rsidRDefault="007E2E07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FFFFFF"/>
          </w:tcPr>
          <w:p w14:paraId="488D6764" w14:textId="77777777" w:rsidR="0078101D" w:rsidRPr="00D52A51" w:rsidRDefault="007E2E07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專業</w:t>
            </w:r>
          </w:p>
          <w:p w14:paraId="087D4A1E" w14:textId="7BD8D5C2" w:rsidR="007E2E07" w:rsidRPr="00D52A51" w:rsidRDefault="007E2E07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課程</w:t>
            </w:r>
          </w:p>
          <w:p w14:paraId="12218E34" w14:textId="38132A48" w:rsidR="008701EA" w:rsidRPr="00D52A51" w:rsidRDefault="008701EA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6"/>
                <w:szCs w:val="18"/>
              </w:rPr>
              <w:t>註2</w:t>
            </w:r>
          </w:p>
        </w:tc>
        <w:tc>
          <w:tcPr>
            <w:tcW w:w="267" w:type="pct"/>
            <w:vMerge w:val="restart"/>
            <w:shd w:val="clear" w:color="auto" w:fill="FFFFFF"/>
          </w:tcPr>
          <w:p w14:paraId="4B04E04B" w14:textId="77777777" w:rsidR="0078101D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專門</w:t>
            </w:r>
          </w:p>
          <w:p w14:paraId="09B9359B" w14:textId="73C4412A" w:rsidR="007E2E07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課程</w:t>
            </w:r>
          </w:p>
          <w:p w14:paraId="401DDA36" w14:textId="7B35E766" w:rsidR="008701EA" w:rsidRPr="00D52A51" w:rsidRDefault="008701EA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6"/>
                <w:szCs w:val="18"/>
              </w:rPr>
              <w:t>註3</w:t>
            </w:r>
          </w:p>
        </w:tc>
        <w:tc>
          <w:tcPr>
            <w:tcW w:w="240" w:type="pct"/>
            <w:vMerge w:val="restart"/>
            <w:shd w:val="clear" w:color="auto" w:fill="FFFFFF"/>
          </w:tcPr>
          <w:p w14:paraId="4E5C8747" w14:textId="77777777" w:rsidR="0078101D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加</w:t>
            </w: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</w:p>
          <w:p w14:paraId="50D8E185" w14:textId="2BEA160C" w:rsidR="007E2E07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課程</w:t>
            </w:r>
          </w:p>
          <w:p w14:paraId="749CD851" w14:textId="77777777" w:rsidR="007E2E07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應修</w:t>
            </w:r>
          </w:p>
          <w:p w14:paraId="325552F5" w14:textId="0B8816C9" w:rsidR="007E2E07" w:rsidRPr="00D52A51" w:rsidRDefault="00343FCE" w:rsidP="00343FC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  <w:p w14:paraId="54490E1A" w14:textId="4023A3F2" w:rsidR="007E2E07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37" w:type="pct"/>
            <w:vMerge w:val="restart"/>
            <w:shd w:val="clear" w:color="auto" w:fill="FFFFFF"/>
          </w:tcPr>
          <w:p w14:paraId="7CAC761E" w14:textId="77777777" w:rsidR="0078101D" w:rsidRPr="00D52A51" w:rsidRDefault="007E2E07" w:rsidP="0091319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具備</w:t>
            </w:r>
          </w:p>
          <w:p w14:paraId="45E0915F" w14:textId="4EBE7C1E" w:rsidR="007E2E07" w:rsidRPr="00D52A51" w:rsidRDefault="007E2E07" w:rsidP="0091319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課程</w:t>
            </w:r>
          </w:p>
          <w:p w14:paraId="04CBA809" w14:textId="77777777" w:rsidR="007E2E07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應修</w:t>
            </w:r>
          </w:p>
          <w:p w14:paraId="7EA3F668" w14:textId="2B8CB936" w:rsidR="007E2E07" w:rsidRPr="00D52A51" w:rsidRDefault="00343FCE" w:rsidP="00343FCE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  <w:u w:val="single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</w:p>
          <w:p w14:paraId="11AED609" w14:textId="060E06FB" w:rsidR="007E2E07" w:rsidRPr="00D52A51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學分</w:t>
            </w:r>
            <w:r w:rsidR="008701EA" w:rsidRPr="00D52A51">
              <w:rPr>
                <w:rFonts w:ascii="標楷體" w:eastAsia="標楷體" w:hAnsi="標楷體" w:hint="eastAsia"/>
                <w:sz w:val="16"/>
                <w:szCs w:val="18"/>
              </w:rPr>
              <w:t>註4</w:t>
            </w:r>
          </w:p>
        </w:tc>
        <w:tc>
          <w:tcPr>
            <w:tcW w:w="231" w:type="pct"/>
            <w:vMerge w:val="restart"/>
            <w:shd w:val="clear" w:color="auto" w:fill="FFFFFF"/>
          </w:tcPr>
          <w:p w14:paraId="2A31ADE0" w14:textId="77777777" w:rsidR="007E2E07" w:rsidRPr="00D52A51" w:rsidRDefault="007E2E07" w:rsidP="007E2E07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/>
                <w:sz w:val="18"/>
                <w:szCs w:val="18"/>
              </w:rPr>
              <w:t>72hr</w:t>
            </w:r>
          </w:p>
          <w:p w14:paraId="74338A8C" w14:textId="7AAAD280" w:rsidR="007E2E07" w:rsidRPr="00D52A51" w:rsidRDefault="001537A5" w:rsidP="006B272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E2E07" w:rsidRPr="00D52A51">
              <w:rPr>
                <w:rFonts w:ascii="標楷體" w:eastAsia="標楷體" w:hAnsi="標楷體" w:hint="eastAsia"/>
                <w:sz w:val="18"/>
                <w:szCs w:val="18"/>
              </w:rPr>
              <w:t>含40hr補救</w:t>
            </w: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78" w:type="pct"/>
            <w:vMerge w:val="restart"/>
            <w:shd w:val="clear" w:color="auto" w:fill="FFFFFF"/>
          </w:tcPr>
          <w:p w14:paraId="4B5F7730" w14:textId="77777777" w:rsidR="007E2E07" w:rsidRPr="00D52A51" w:rsidRDefault="007E2E07" w:rsidP="007E2E07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史懷哲服務</w:t>
            </w:r>
          </w:p>
          <w:p w14:paraId="7857072E" w14:textId="2120598F" w:rsidR="007E2E07" w:rsidRPr="00D52A51" w:rsidRDefault="008701EA" w:rsidP="007E2E07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6"/>
                <w:szCs w:val="18"/>
              </w:rPr>
              <w:t>註5</w:t>
            </w:r>
          </w:p>
        </w:tc>
        <w:tc>
          <w:tcPr>
            <w:tcW w:w="134" w:type="pct"/>
            <w:vMerge w:val="restart"/>
            <w:shd w:val="clear" w:color="auto" w:fill="FFFFFF"/>
          </w:tcPr>
          <w:p w14:paraId="26AF49AA" w14:textId="77777777" w:rsidR="007E2E07" w:rsidRPr="00D52A51" w:rsidRDefault="007E2E07" w:rsidP="007E2E07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部落服務</w:t>
            </w:r>
          </w:p>
          <w:p w14:paraId="6318EE9B" w14:textId="77777777" w:rsidR="007E2E07" w:rsidRPr="00D52A51" w:rsidRDefault="007E2E07" w:rsidP="007E2E07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B55E1E5" w14:textId="07972581" w:rsidR="007E2E07" w:rsidRPr="00D52A51" w:rsidRDefault="008701EA" w:rsidP="007E2E07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6"/>
                <w:szCs w:val="18"/>
              </w:rPr>
              <w:t>註6</w:t>
            </w:r>
          </w:p>
        </w:tc>
        <w:tc>
          <w:tcPr>
            <w:tcW w:w="180" w:type="pct"/>
            <w:vMerge w:val="restart"/>
            <w:shd w:val="clear" w:color="auto" w:fill="FFFFFF"/>
          </w:tcPr>
          <w:p w14:paraId="518DFDC5" w14:textId="77777777" w:rsidR="007E2E07" w:rsidRPr="00D52A51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英語</w:t>
            </w:r>
          </w:p>
          <w:p w14:paraId="66046B3D" w14:textId="1ACE411D" w:rsidR="007E2E07" w:rsidRPr="00D52A51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5A4A38A" w14:textId="6AC46B5B" w:rsidR="007E2E07" w:rsidRPr="00D52A51" w:rsidRDefault="00343FCE" w:rsidP="00343FC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</w:p>
          <w:p w14:paraId="2AF09F0C" w14:textId="77777777" w:rsidR="007E2E07" w:rsidRPr="00D52A51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級</w:t>
            </w:r>
          </w:p>
          <w:p w14:paraId="28C80B19" w14:textId="4687FBBB" w:rsidR="007E2E07" w:rsidRPr="00D52A51" w:rsidRDefault="008701EA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6"/>
                <w:szCs w:val="18"/>
              </w:rPr>
              <w:t>註7</w:t>
            </w:r>
          </w:p>
        </w:tc>
        <w:tc>
          <w:tcPr>
            <w:tcW w:w="181" w:type="pct"/>
            <w:vMerge w:val="restart"/>
            <w:shd w:val="clear" w:color="auto" w:fill="FFFFFF"/>
          </w:tcPr>
          <w:p w14:paraId="138F7232" w14:textId="2ADE09A2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族語</w:t>
            </w:r>
          </w:p>
          <w:p w14:paraId="414C7718" w14:textId="4822D334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B0D4548" w14:textId="2F3C89DE" w:rsidR="007E2E07" w:rsidRPr="00DB52AC" w:rsidRDefault="00343FCE" w:rsidP="00343FCE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  <w:u w:val="single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</w:p>
          <w:p w14:paraId="3CB5FDDC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語</w:t>
            </w:r>
          </w:p>
          <w:p w14:paraId="1B545A23" w14:textId="1D18E005" w:rsidR="007E2E07" w:rsidRPr="00DB52AC" w:rsidRDefault="008701EA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6"/>
                <w:szCs w:val="18"/>
              </w:rPr>
              <w:t>註8</w:t>
            </w:r>
          </w:p>
        </w:tc>
        <w:tc>
          <w:tcPr>
            <w:tcW w:w="329" w:type="pct"/>
            <w:vMerge/>
            <w:shd w:val="clear" w:color="auto" w:fill="FFFFFF"/>
          </w:tcPr>
          <w:p w14:paraId="1D5E9022" w14:textId="249FA39C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14:paraId="4FCC17DB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3" w:type="pct"/>
            <w:gridSpan w:val="2"/>
            <w:vMerge/>
            <w:shd w:val="clear" w:color="auto" w:fill="FFFFFF"/>
          </w:tcPr>
          <w:p w14:paraId="4039FE1F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0BD6CBFF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right w:val="single" w:sz="12" w:space="0" w:color="auto"/>
            </w:tcBorders>
            <w:shd w:val="clear" w:color="auto" w:fill="FFFFFF"/>
          </w:tcPr>
          <w:p w14:paraId="4A5CBC38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8101D" w14:paraId="7A88B4EA" w14:textId="77777777" w:rsidTr="0078101D">
        <w:trPr>
          <w:trHeight w:val="1627"/>
        </w:trPr>
        <w:tc>
          <w:tcPr>
            <w:tcW w:w="13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762BA22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418B6D56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1CEE64EB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00A25BB3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6FA48AB6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166A5A29" w14:textId="77777777" w:rsidR="007E2E07" w:rsidRPr="00DB52AC" w:rsidRDefault="007E2E07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0911A772" w14:textId="77777777" w:rsidR="007E2E07" w:rsidRPr="00DB52AC" w:rsidRDefault="007E2E07" w:rsidP="002911ED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05517E02" w14:textId="77777777" w:rsidR="007E2E07" w:rsidRPr="00DB52AC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225BD20B" w14:textId="77777777" w:rsidR="007E2E07" w:rsidRPr="00DB52AC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3795B621" w14:textId="77777777" w:rsidR="007E2E07" w:rsidRPr="00DB52AC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734AF7AD" w14:textId="77777777" w:rsidR="007E2E07" w:rsidRPr="00DB52AC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1E0CAE7F" w14:textId="77777777" w:rsidR="007E2E07" w:rsidRPr="00DB52AC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0578EA6E" w14:textId="4B1EAFCC" w:rsidR="007E2E07" w:rsidRPr="00DB52AC" w:rsidRDefault="007E2E07" w:rsidP="0009327E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0AC63AA8" w14:textId="55A0B494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6E393B2A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71C4F773" w14:textId="4436326C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2C55EE5D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tcBorders>
              <w:bottom w:val="single" w:sz="12" w:space="0" w:color="auto"/>
            </w:tcBorders>
            <w:shd w:val="clear" w:color="auto" w:fill="FFFFFF"/>
          </w:tcPr>
          <w:p w14:paraId="727BB16B" w14:textId="120B4CDC" w:rsidR="007E2E07" w:rsidRPr="00DB52AC" w:rsidRDefault="007E2E07" w:rsidP="008B587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研習</w:t>
            </w:r>
          </w:p>
          <w:p w14:paraId="77A63BBA" w14:textId="0D2EC754" w:rsidR="007E2E07" w:rsidRPr="00DB52AC" w:rsidRDefault="007E2E07" w:rsidP="008B587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36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B52AC">
              <w:rPr>
                <w:sz w:val="18"/>
                <w:szCs w:val="18"/>
              </w:rPr>
              <w:t>hr</w:t>
            </w:r>
          </w:p>
        </w:tc>
        <w:tc>
          <w:tcPr>
            <w:tcW w:w="292" w:type="pct"/>
            <w:tcBorders>
              <w:bottom w:val="single" w:sz="12" w:space="0" w:color="auto"/>
            </w:tcBorders>
            <w:shd w:val="clear" w:color="auto" w:fill="FFFFFF"/>
          </w:tcPr>
          <w:p w14:paraId="30EC5161" w14:textId="77777777" w:rsidR="007E2E07" w:rsidRPr="00DB52AC" w:rsidRDefault="007E2E07" w:rsidP="008B587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教學</w:t>
            </w:r>
          </w:p>
          <w:p w14:paraId="3F4E3586" w14:textId="74FAD5C5" w:rsidR="007E2E07" w:rsidRPr="00DB52AC" w:rsidRDefault="007E2E07" w:rsidP="008B587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演示</w:t>
            </w: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36681F56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86EEEC" w14:textId="77777777" w:rsidR="007E2E07" w:rsidRPr="00DB52AC" w:rsidRDefault="007E2E07" w:rsidP="00BD707A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8101D" w14:paraId="0AA4CB5D" w14:textId="3C1115D0" w:rsidTr="0078101D">
        <w:trPr>
          <w:trHeight w:hRule="exact" w:val="539"/>
        </w:trPr>
        <w:tc>
          <w:tcPr>
            <w:tcW w:w="1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35EF4675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E7A7679" w14:textId="1765C2CF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學年度</w:t>
            </w:r>
          </w:p>
          <w:p w14:paraId="51B1D1D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14:paraId="0841618A" w14:textId="3F75F6D9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29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2E89230" w14:textId="51D996B4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□符合</w:t>
            </w:r>
          </w:p>
          <w:p w14:paraId="6F3D24C9" w14:textId="470ED2D9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□未符合</w:t>
            </w:r>
          </w:p>
          <w:p w14:paraId="056B441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原因：</w:t>
            </w:r>
          </w:p>
          <w:p w14:paraId="17B91BB2" w14:textId="7F20CA7F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14:paraId="08C50D8C" w14:textId="77777777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5F41592" w14:textId="05CFE233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符合</w:t>
            </w:r>
          </w:p>
          <w:p w14:paraId="2FEC7CC6" w14:textId="146C8D33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未符合</w:t>
            </w:r>
          </w:p>
          <w:p w14:paraId="256ACD23" w14:textId="50B3EFFB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建議改善</w:t>
            </w:r>
          </w:p>
          <w:p w14:paraId="08EFA398" w14:textId="0D4C7A2E" w:rsidR="0078101D" w:rsidRPr="00DB52AC" w:rsidRDefault="0078101D" w:rsidP="0078101D">
            <w:pPr>
              <w:spacing w:line="180" w:lineRule="exact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AE1FF6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B10F8A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51FE26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70E3A7E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  <w:p w14:paraId="02F963F6" w14:textId="432FAD0A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14:paraId="54A67B94" w14:textId="11DFB2DD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DDD707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A4E0CAF" w14:textId="14EB5D3E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%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9EB54B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41DC91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5B97F8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251E401" w14:textId="663FDDDB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A10BB1F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6EE782C8" w14:textId="3BCDEC2D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4EBE5A3" w14:textId="5495D37B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208D8899" w14:textId="21CDAA41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1A6955C6" w14:textId="14C1CD1A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69E60E19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14:paraId="560C57DB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24776DB" w14:textId="32935EFA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2BF22B7C" w14:textId="77777777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1B4CE75B" w14:textId="6DAB9490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701D1FFE" w14:textId="6326D1F1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1FE08D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F4E0DA2" w14:textId="28614A7C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FA1462A" w14:textId="77777777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190DAEC0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3CF5A80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73C2229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DBFF740" w14:textId="18F73DE9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FEDB6E8" w14:textId="77777777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3D8EC02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286EFBF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4C47A4F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6894F55" w14:textId="40950B28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013F40D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760755D3" w14:textId="7854FF12" w:rsidR="0078101D" w:rsidRPr="00DB52AC" w:rsidRDefault="0078101D" w:rsidP="0078101D">
            <w:pPr>
              <w:spacing w:line="180" w:lineRule="exact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義務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B52AC">
              <w:rPr>
                <w:sz w:val="18"/>
                <w:szCs w:val="18"/>
              </w:rPr>
              <w:t>hr</w:t>
            </w:r>
          </w:p>
          <w:p w14:paraId="21DFBDCC" w14:textId="414AE022" w:rsidR="0078101D" w:rsidRPr="00DB52AC" w:rsidRDefault="0078101D" w:rsidP="0078101D">
            <w:pPr>
              <w:spacing w:line="180" w:lineRule="exact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補教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B52AC">
              <w:rPr>
                <w:sz w:val="18"/>
                <w:szCs w:val="18"/>
              </w:rPr>
              <w:t>hr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25687E9" w14:textId="30496AE6" w:rsidR="0078101D" w:rsidRPr="00DB52AC" w:rsidRDefault="0078101D" w:rsidP="0078101D">
            <w:pPr>
              <w:spacing w:line="180" w:lineRule="exact"/>
              <w:rPr>
                <w:sz w:val="18"/>
                <w:szCs w:val="18"/>
                <w:u w:val="single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□通過                 □未通過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E881198" w14:textId="410AAFC6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□無須此項</w:t>
            </w:r>
          </w:p>
          <w:p w14:paraId="12329DD9" w14:textId="7E8E2756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硬筆</w:t>
            </w:r>
          </w:p>
          <w:p w14:paraId="5C437BEE" w14:textId="5F03070E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板書</w:t>
            </w:r>
          </w:p>
          <w:p w14:paraId="4D89C086" w14:textId="3F182B8D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說故事</w:t>
            </w:r>
          </w:p>
          <w:p w14:paraId="04B376DC" w14:textId="20EC6559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pacing w:val="-20"/>
                <w:kern w:val="20"/>
                <w:sz w:val="18"/>
                <w:szCs w:val="18"/>
              </w:rPr>
              <w:t>字音字形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5EFAED2" w14:textId="5CDC0453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□無須此項</w:t>
            </w:r>
          </w:p>
          <w:p w14:paraId="18AE5DEA" w14:textId="7965EADA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精熟</w:t>
            </w:r>
          </w:p>
          <w:p w14:paraId="7F9CA5C0" w14:textId="0D454CE9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□國語□數學□自然□社會基礎</w:t>
            </w:r>
          </w:p>
          <w:p w14:paraId="07002FC9" w14:textId="7EC505B4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□國語□數學□自然□社會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395C27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2351D96C" w14:textId="35C4E7A9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CCE4BD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2345ACE" w14:textId="085531DA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sz w:val="18"/>
                <w:szCs w:val="18"/>
              </w:rPr>
              <w:t>hr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8EE1116" w14:textId="134DB946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  <w:shd w:val="clear" w:color="auto" w:fill="FFFFFF" w:themeFill="background1"/>
              </w:rPr>
              <w:t>□</w:t>
            </w:r>
            <w:r w:rsidRPr="00DB52AC">
              <w:rPr>
                <w:rFonts w:ascii="標楷體" w:eastAsia="標楷體" w:hAnsi="標楷體"/>
                <w:sz w:val="18"/>
                <w:szCs w:val="18"/>
              </w:rPr>
              <w:t>通過                 □未通過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F835199" w14:textId="4C5D17B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□通過                 □未通過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0F612F96" w14:textId="22DF607A" w:rsidR="0078101D" w:rsidRPr="0078101D" w:rsidRDefault="0078101D" w:rsidP="0078101D">
            <w:pPr>
              <w:spacing w:line="18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學生</w:t>
            </w:r>
          </w:p>
        </w:tc>
      </w:tr>
      <w:tr w:rsidR="0078101D" w14:paraId="75E84D41" w14:textId="77777777" w:rsidTr="0078101D">
        <w:trPr>
          <w:trHeight w:hRule="exact" w:val="397"/>
        </w:trPr>
        <w:tc>
          <w:tcPr>
            <w:tcW w:w="13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57C0C919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9EFAD82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AE01D82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2D8D06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2C0DB6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BAD2D1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6DA8D51A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0104345F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959BF9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31885C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ED050C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8B70C8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168D523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DC572BC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ACF7A0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4892F65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DEBE8C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0E4E88F1" w14:textId="05D3D62B" w:rsidR="0078101D" w:rsidRPr="0078101D" w:rsidRDefault="0078101D" w:rsidP="0078101D">
            <w:pPr>
              <w:spacing w:line="18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輔導導師</w:t>
            </w:r>
            <w:bookmarkStart w:id="0" w:name="_GoBack"/>
            <w:bookmarkEnd w:id="0"/>
          </w:p>
        </w:tc>
      </w:tr>
      <w:tr w:rsidR="0078101D" w14:paraId="743A58D5" w14:textId="77777777" w:rsidTr="0078101D">
        <w:trPr>
          <w:trHeight w:hRule="exact" w:val="84"/>
        </w:trPr>
        <w:tc>
          <w:tcPr>
            <w:tcW w:w="13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6C4049B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958E59E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26DCD37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966A9B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288EF0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A469F7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4260230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7D2C56A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905045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085002F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7FA4CB3" w14:textId="5040BF9D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註5</w:t>
            </w: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01BFBBE5" w14:textId="008C89A2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4964DED8" w14:textId="59A27C63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未完成</w:t>
            </w:r>
          </w:p>
        </w:tc>
        <w:tc>
          <w:tcPr>
            <w:tcW w:w="36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DC5E128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B5B8974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1B523BF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D2932ED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0936E17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2F3207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31C409" w14:textId="77777777" w:rsidR="0078101D" w:rsidRPr="0078101D" w:rsidRDefault="0078101D" w:rsidP="0078101D">
            <w:pPr>
              <w:spacing w:line="18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78101D" w14:paraId="31356552" w14:textId="77777777" w:rsidTr="0078101D">
        <w:trPr>
          <w:trHeight w:hRule="exact" w:val="340"/>
        </w:trPr>
        <w:tc>
          <w:tcPr>
            <w:tcW w:w="13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2F23FA9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2507C19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4B58261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2579F0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67C969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4A966B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01D7124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32E4779F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1CDDC1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1813A3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5A34458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381D82F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74F5259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91700EA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28AF00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726AF95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22AB0B5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C9F7D3" w14:textId="3F112D3D" w:rsidR="0078101D" w:rsidRPr="0078101D" w:rsidRDefault="0078101D" w:rsidP="0078101D">
            <w:pPr>
              <w:spacing w:line="18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系所主任</w:t>
            </w:r>
          </w:p>
        </w:tc>
      </w:tr>
      <w:tr w:rsidR="0078101D" w14:paraId="2861D907" w14:textId="77777777" w:rsidTr="0078101D">
        <w:trPr>
          <w:trHeight w:hRule="exact" w:val="84"/>
        </w:trPr>
        <w:tc>
          <w:tcPr>
            <w:tcW w:w="13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2516DF01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975E53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AE7E74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DA1009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4A05A4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6B3287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4224F1B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1E59DD1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88271A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F4EC80B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A34F125" w14:textId="5F03B81C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註6</w:t>
            </w: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650972A3" w14:textId="498AD1DF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4C5D26A3" w14:textId="011A787C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未完成</w:t>
            </w:r>
          </w:p>
        </w:tc>
        <w:tc>
          <w:tcPr>
            <w:tcW w:w="36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CA0107C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3A533A6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3BB2F89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F1B788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BEACF9E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A2BC9D2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EA6CEE" w14:textId="03B487EA" w:rsidR="0078101D" w:rsidRPr="0078101D" w:rsidRDefault="0078101D" w:rsidP="0078101D">
            <w:pPr>
              <w:spacing w:line="18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78101D" w14:paraId="2445D91C" w14:textId="77777777" w:rsidTr="0078101D">
        <w:trPr>
          <w:trHeight w:val="483"/>
        </w:trPr>
        <w:tc>
          <w:tcPr>
            <w:tcW w:w="13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753499B9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DFA4364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4F856D5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627D47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10E9DB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8C5501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349D8D2B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1B3D8CAB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34A3661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114F68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C43501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D650BF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8894C70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6463DA2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FB7144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D91592F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C1729CF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AB937B" w14:textId="0B2760E1" w:rsidR="0078101D" w:rsidRPr="0078101D" w:rsidRDefault="0078101D" w:rsidP="0078101D">
            <w:pPr>
              <w:spacing w:line="180" w:lineRule="exact"/>
              <w:rPr>
                <w:rFonts w:ascii="標楷體" w:eastAsia="標楷體" w:hAnsi="標楷體"/>
                <w:sz w:val="16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師培中心承辦人</w:t>
            </w:r>
          </w:p>
        </w:tc>
      </w:tr>
      <w:tr w:rsidR="0078101D" w14:paraId="3A454EC4" w14:textId="77777777" w:rsidTr="0078101D">
        <w:trPr>
          <w:trHeight w:val="531"/>
        </w:trPr>
        <w:tc>
          <w:tcPr>
            <w:tcW w:w="13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38A6B20A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E08EFD7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7E5EC83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AAF3C8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FB1BFD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11968F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56DC4E4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5CB3DA6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ACD73E1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E38B3B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2612016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318DB08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B97C974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918313F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0260A0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E5B03E8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4B1CDEC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35AD47" w14:textId="06587905" w:rsidR="0078101D" w:rsidRPr="0078101D" w:rsidRDefault="0078101D" w:rsidP="0078101D">
            <w:pPr>
              <w:spacing w:line="180" w:lineRule="exact"/>
              <w:rPr>
                <w:rFonts w:ascii="標楷體" w:eastAsia="標楷體" w:hAnsi="標楷體" w:hint="eastAsia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師培中心</w:t>
            </w: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組長</w:t>
            </w:r>
          </w:p>
        </w:tc>
      </w:tr>
      <w:tr w:rsidR="0078101D" w14:paraId="238DE01A" w14:textId="77777777" w:rsidTr="0078101D">
        <w:trPr>
          <w:trHeight w:val="543"/>
        </w:trPr>
        <w:tc>
          <w:tcPr>
            <w:tcW w:w="13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FBD42D8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6DEAF83" w14:textId="376EC661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學年度</w:t>
            </w:r>
          </w:p>
          <w:p w14:paraId="48000AC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14:paraId="49A5C045" w14:textId="2B8BBF12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 下</w:t>
            </w:r>
          </w:p>
        </w:tc>
        <w:tc>
          <w:tcPr>
            <w:tcW w:w="29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24605564" w14:textId="618B4161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□符合</w:t>
            </w:r>
          </w:p>
          <w:p w14:paraId="1EB8A4F6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□未符合</w:t>
            </w:r>
          </w:p>
          <w:p w14:paraId="280572A8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原因：</w:t>
            </w:r>
          </w:p>
          <w:p w14:paraId="2C9D3DB8" w14:textId="740C6F12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14:paraId="76CDF9F8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43EFCFB7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符合</w:t>
            </w:r>
          </w:p>
          <w:p w14:paraId="6200896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未符合</w:t>
            </w:r>
          </w:p>
          <w:p w14:paraId="49F7EE9B" w14:textId="220A47DA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建議改善</w:t>
            </w:r>
          </w:p>
          <w:p w14:paraId="56FB964E" w14:textId="47899D7B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183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0235071B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75E588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976CBA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A73A6E4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  <w:p w14:paraId="51D648A0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</w:p>
          <w:p w14:paraId="24AD0D20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DDD46CA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CC207E1" w14:textId="4CF175C5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%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6F6B56BF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3EBDA1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459929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AB4F88A" w14:textId="0A19A19C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1086D81B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本學年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累計</w:t>
            </w:r>
          </w:p>
          <w:p w14:paraId="5D871D98" w14:textId="6631689A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6A044B9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347740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BAF89A4" w14:textId="41D4943B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16D638D6" w14:textId="1BBF1E9E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本學年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累計</w:t>
            </w:r>
          </w:p>
          <w:p w14:paraId="672823E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09F6308F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4B1970B" w14:textId="451146B2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8404BAA" w14:textId="6BFC6A91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5E357F88" w14:textId="0E064D65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本學年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累計</w:t>
            </w:r>
          </w:p>
          <w:p w14:paraId="456A5DC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1C9D295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44793FE" w14:textId="42D1E285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1D4D644" w14:textId="5905699D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1977E7E5" w14:textId="22D3E5CC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本學年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累計</w:t>
            </w:r>
          </w:p>
          <w:p w14:paraId="2807EB79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52E14C09" w14:textId="10FCDFBB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82ECF43" w14:textId="08EBE994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5A3B8F6" w14:textId="26D1F696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30D7F0EB" w14:textId="36238F3D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本學年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累計</w:t>
            </w:r>
          </w:p>
          <w:p w14:paraId="674246C1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74A13CB7" w14:textId="5834EA3B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8A33A2E" w14:textId="26139975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4FB871E" w14:textId="58FBE0BC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25EB77DB" w14:textId="1FA86310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本學年累計完成</w:t>
            </w:r>
          </w:p>
          <w:p w14:paraId="5561C62D" w14:textId="206BE3C1" w:rsidR="0078101D" w:rsidRPr="00DB52AC" w:rsidRDefault="0078101D" w:rsidP="0078101D">
            <w:pPr>
              <w:spacing w:line="180" w:lineRule="exact"/>
              <w:rPr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義務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DB52AC">
              <w:rPr>
                <w:sz w:val="18"/>
                <w:szCs w:val="18"/>
              </w:rPr>
              <w:t>hr</w:t>
            </w:r>
          </w:p>
          <w:p w14:paraId="407B43E5" w14:textId="350DD2CD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 xml:space="preserve">補教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DB52AC">
              <w:rPr>
                <w:sz w:val="18"/>
                <w:szCs w:val="18"/>
              </w:rPr>
              <w:t>hr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53E8724B" w14:textId="35E3C876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□通過         □未通過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7A49BCB3" w14:textId="77777777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□無須此項</w:t>
            </w:r>
          </w:p>
          <w:p w14:paraId="79D90EA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硬筆</w:t>
            </w:r>
          </w:p>
          <w:p w14:paraId="1714A8B0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板書</w:t>
            </w:r>
          </w:p>
          <w:p w14:paraId="0E983771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說故事</w:t>
            </w:r>
          </w:p>
          <w:p w14:paraId="177599BD" w14:textId="27F8D4CF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pacing w:val="-20"/>
                <w:kern w:val="20"/>
                <w:sz w:val="18"/>
                <w:szCs w:val="18"/>
              </w:rPr>
              <w:t>字音字形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09FF5306" w14:textId="54418608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□無須此項</w:t>
            </w:r>
          </w:p>
          <w:p w14:paraId="70302723" w14:textId="7F9ECBD9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精熟</w:t>
            </w:r>
          </w:p>
          <w:p w14:paraId="025A5C22" w14:textId="36A43241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□國語□數學□自然□社會基礎</w:t>
            </w:r>
          </w:p>
          <w:p w14:paraId="1597B01E" w14:textId="4D65933C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□國語□數學□自然□社會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49BFF960" w14:textId="73C91FAF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累計完成</w:t>
            </w:r>
          </w:p>
          <w:p w14:paraId="64CEC0C6" w14:textId="1313F878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13FAE21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74C3B2C" w14:textId="47662DB2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sz w:val="18"/>
                <w:szCs w:val="18"/>
              </w:rPr>
              <w:t>hr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428703BD" w14:textId="4B8F2AAB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□通過                 □未通過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50A75422" w14:textId="2A63A584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□通過                 □未通過</w:t>
            </w:r>
          </w:p>
        </w:tc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E537A76" w14:textId="7D493EB6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學生</w:t>
            </w:r>
          </w:p>
        </w:tc>
      </w:tr>
      <w:tr w:rsidR="0078101D" w14:paraId="3D93E21B" w14:textId="77777777" w:rsidTr="0078101D">
        <w:trPr>
          <w:trHeight w:val="205"/>
        </w:trPr>
        <w:tc>
          <w:tcPr>
            <w:tcW w:w="132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7CF3862B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256F1AF4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3269DBE2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22252D6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074B295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697D2061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0050112B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1AAF4FA0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528E7F06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3FABDF7B" w14:textId="77777777" w:rsidR="0078101D" w:rsidRDefault="0078101D" w:rsidP="0078101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/>
          </w:tcPr>
          <w:p w14:paraId="3FA9369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12" w:space="0" w:color="auto"/>
            </w:tcBorders>
            <w:shd w:val="clear" w:color="auto" w:fill="FFFFFF"/>
          </w:tcPr>
          <w:p w14:paraId="59A1296F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16BF5F98" w14:textId="77777777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46C2FCA5" w14:textId="77777777" w:rsidR="0078101D" w:rsidRPr="00DB52AC" w:rsidRDefault="0078101D" w:rsidP="0078101D">
            <w:pPr>
              <w:spacing w:line="180" w:lineRule="exact"/>
              <w:ind w:left="180" w:hangingChars="100" w:hanging="180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4163292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142E5D2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12" w:space="0" w:color="auto"/>
            </w:tcBorders>
            <w:shd w:val="clear" w:color="auto" w:fill="FFFFFF"/>
          </w:tcPr>
          <w:p w14:paraId="51B8DD3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14:paraId="3C0C43DA" w14:textId="22EB1FA1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輔導導師</w:t>
            </w:r>
          </w:p>
        </w:tc>
      </w:tr>
      <w:tr w:rsidR="0078101D" w14:paraId="6F635F38" w14:textId="77777777" w:rsidTr="0078101D">
        <w:trPr>
          <w:trHeight w:val="300"/>
        </w:trPr>
        <w:tc>
          <w:tcPr>
            <w:tcW w:w="132" w:type="pct"/>
            <w:vMerge/>
            <w:tcBorders>
              <w:left w:val="single" w:sz="12" w:space="0" w:color="auto"/>
            </w:tcBorders>
            <w:shd w:val="clear" w:color="auto" w:fill="FFFFFF"/>
          </w:tcPr>
          <w:p w14:paraId="09D05C0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14:paraId="19673FC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14:paraId="29076B59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FFFFFF"/>
          </w:tcPr>
          <w:p w14:paraId="1CAE00F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14:paraId="5A66B53A" w14:textId="77777777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14:paraId="31435B3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00E60F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FFFFFF"/>
          </w:tcPr>
          <w:p w14:paraId="42A98D8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7DA6A88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14:paraId="7D9BB3D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E8A8ECE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註5</w:t>
            </w: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4495484E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594ED129" w14:textId="2E03BF83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未完成</w:t>
            </w:r>
          </w:p>
        </w:tc>
        <w:tc>
          <w:tcPr>
            <w:tcW w:w="361" w:type="pct"/>
            <w:gridSpan w:val="2"/>
            <w:vMerge/>
            <w:shd w:val="clear" w:color="auto" w:fill="FFFFFF"/>
          </w:tcPr>
          <w:p w14:paraId="3FBB098E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056A6980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14:paraId="5E5E0FF7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FFFFFF"/>
          </w:tcPr>
          <w:p w14:paraId="599766F9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20563C0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274A46D1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right w:val="single" w:sz="12" w:space="0" w:color="auto"/>
            </w:tcBorders>
            <w:shd w:val="clear" w:color="auto" w:fill="FFFFFF"/>
          </w:tcPr>
          <w:p w14:paraId="678B8B14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8101D" w14:paraId="0463A5BA" w14:textId="77777777" w:rsidTr="0078101D">
        <w:trPr>
          <w:trHeight w:val="300"/>
        </w:trPr>
        <w:tc>
          <w:tcPr>
            <w:tcW w:w="132" w:type="pct"/>
            <w:vMerge/>
            <w:tcBorders>
              <w:left w:val="single" w:sz="12" w:space="0" w:color="auto"/>
            </w:tcBorders>
            <w:shd w:val="clear" w:color="auto" w:fill="FFFFFF"/>
          </w:tcPr>
          <w:p w14:paraId="1E60171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14:paraId="6761805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14:paraId="2285D7BC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FFFFFF"/>
          </w:tcPr>
          <w:p w14:paraId="03B2156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14:paraId="61EAC1B0" w14:textId="77777777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14:paraId="0615778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0970974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FFFFFF"/>
          </w:tcPr>
          <w:p w14:paraId="6D4849C6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3D525C57" w14:textId="23757CFA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14:paraId="1BAD4E19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299E7E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shd w:val="clear" w:color="auto" w:fill="FFFFFF"/>
          </w:tcPr>
          <w:p w14:paraId="45617190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464E7E73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14:paraId="4C55D326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FFFFFF"/>
          </w:tcPr>
          <w:p w14:paraId="13923CB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6C2EE448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5DF88EC6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right w:val="single" w:sz="12" w:space="0" w:color="auto"/>
            </w:tcBorders>
            <w:shd w:val="clear" w:color="auto" w:fill="FFFFFF"/>
          </w:tcPr>
          <w:p w14:paraId="238A1C12" w14:textId="131A741C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系所主任</w:t>
            </w:r>
          </w:p>
        </w:tc>
      </w:tr>
      <w:tr w:rsidR="0078101D" w14:paraId="56D055B5" w14:textId="77777777" w:rsidTr="0078101D">
        <w:trPr>
          <w:trHeight w:val="180"/>
        </w:trPr>
        <w:tc>
          <w:tcPr>
            <w:tcW w:w="132" w:type="pct"/>
            <w:vMerge/>
            <w:tcBorders>
              <w:left w:val="single" w:sz="12" w:space="0" w:color="auto"/>
            </w:tcBorders>
            <w:shd w:val="clear" w:color="auto" w:fill="FFFFFF"/>
          </w:tcPr>
          <w:p w14:paraId="157EA7C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14:paraId="36F6748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14:paraId="27E20C1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FFFFFF"/>
          </w:tcPr>
          <w:p w14:paraId="25F73B35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14:paraId="18A71A1A" w14:textId="77777777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14:paraId="5DA1139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77A426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FFFFFF"/>
          </w:tcPr>
          <w:p w14:paraId="7852577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09F329B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14:paraId="5094C42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ECF4BBF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註6</w:t>
            </w: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無須此項</w:t>
            </w:r>
          </w:p>
          <w:p w14:paraId="6199A292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完成</w:t>
            </w:r>
          </w:p>
          <w:p w14:paraId="7636B2A2" w14:textId="5DFEA01E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B52AC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B52AC">
              <w:rPr>
                <w:rFonts w:ascii="標楷體" w:eastAsia="標楷體" w:hAnsi="標楷體" w:hint="eastAsia"/>
                <w:sz w:val="18"/>
                <w:szCs w:val="18"/>
              </w:rPr>
              <w:t>未完成</w:t>
            </w:r>
          </w:p>
        </w:tc>
        <w:tc>
          <w:tcPr>
            <w:tcW w:w="361" w:type="pct"/>
            <w:gridSpan w:val="2"/>
            <w:vMerge/>
            <w:shd w:val="clear" w:color="auto" w:fill="FFFFFF"/>
          </w:tcPr>
          <w:p w14:paraId="2B6FEB36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7F9F41E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14:paraId="1BB0C344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FFFFFF"/>
          </w:tcPr>
          <w:p w14:paraId="673FDAF2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7BF6E8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2600DBA2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right w:val="single" w:sz="12" w:space="0" w:color="auto"/>
            </w:tcBorders>
            <w:shd w:val="clear" w:color="auto" w:fill="FFFFFF"/>
          </w:tcPr>
          <w:p w14:paraId="09F6A97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8101D" w14:paraId="06ADAE5A" w14:textId="77777777" w:rsidTr="0078101D">
        <w:trPr>
          <w:trHeight w:val="504"/>
        </w:trPr>
        <w:tc>
          <w:tcPr>
            <w:tcW w:w="132" w:type="pct"/>
            <w:vMerge/>
            <w:tcBorders>
              <w:left w:val="single" w:sz="12" w:space="0" w:color="auto"/>
            </w:tcBorders>
            <w:shd w:val="clear" w:color="auto" w:fill="FFFFFF"/>
          </w:tcPr>
          <w:p w14:paraId="7DD9731C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14:paraId="1A21EF43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14:paraId="22E49B02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FFFFFF"/>
          </w:tcPr>
          <w:p w14:paraId="371B620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14:paraId="308BCF1A" w14:textId="77777777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14:paraId="7E94F341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33450A8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FFFFFF"/>
          </w:tcPr>
          <w:p w14:paraId="774EC20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14:paraId="7AB10DD7" w14:textId="6954DA7C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right w:val="single" w:sz="2" w:space="0" w:color="auto"/>
            </w:tcBorders>
            <w:shd w:val="clear" w:color="auto" w:fill="FFFFFF"/>
          </w:tcPr>
          <w:p w14:paraId="756CF18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2" w:space="0" w:color="auto"/>
            </w:tcBorders>
            <w:shd w:val="clear" w:color="auto" w:fill="FFFFFF"/>
          </w:tcPr>
          <w:p w14:paraId="6F7AD521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shd w:val="clear" w:color="auto" w:fill="FFFFFF"/>
          </w:tcPr>
          <w:p w14:paraId="564F5463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14:paraId="3C654E7B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14:paraId="15808978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FFFFFF"/>
          </w:tcPr>
          <w:p w14:paraId="7F2690B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0589B6D0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14:paraId="0F36FB3E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513D68" w14:textId="05A4777F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師培中心承辦人</w:t>
            </w:r>
          </w:p>
        </w:tc>
      </w:tr>
      <w:tr w:rsidR="0078101D" w14:paraId="22DFFE2D" w14:textId="77777777" w:rsidTr="0078101D">
        <w:trPr>
          <w:trHeight w:val="596"/>
        </w:trPr>
        <w:tc>
          <w:tcPr>
            <w:tcW w:w="13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32E71E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67D368D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346A622A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7044BF7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1872531C" w14:textId="77777777" w:rsidR="0078101D" w:rsidRPr="00DB52AC" w:rsidRDefault="0078101D" w:rsidP="0078101D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74EB1E0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7AEBEFF8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4861FFF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72A699B3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C634D7A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14:paraId="08A03F6E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vMerge/>
            <w:tcBorders>
              <w:bottom w:val="single" w:sz="12" w:space="0" w:color="auto"/>
            </w:tcBorders>
            <w:shd w:val="clear" w:color="auto" w:fill="FFFFFF"/>
          </w:tcPr>
          <w:p w14:paraId="06AE070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5D513804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0FDED76F" w14:textId="77777777" w:rsidR="0078101D" w:rsidRPr="00DB52AC" w:rsidRDefault="0078101D" w:rsidP="0078101D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72FB78F7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345C8C0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5D758CFD" w14:textId="77777777" w:rsidR="0078101D" w:rsidRPr="00DB52AC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AE9D95" w14:textId="50D69AC6" w:rsidR="0078101D" w:rsidRPr="00DB52AC" w:rsidRDefault="0078101D" w:rsidP="0078101D">
            <w:pPr>
              <w:spacing w:line="18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師培中心</w:t>
            </w:r>
            <w:r w:rsidRPr="0078101D">
              <w:rPr>
                <w:rFonts w:ascii="標楷體" w:eastAsia="標楷體" w:hAnsi="標楷體" w:hint="eastAsia"/>
                <w:sz w:val="16"/>
                <w:szCs w:val="18"/>
              </w:rPr>
              <w:t>組長</w:t>
            </w:r>
          </w:p>
        </w:tc>
      </w:tr>
      <w:tr w:rsidR="0078101D" w14:paraId="3EB9FEC9" w14:textId="63F543D6" w:rsidTr="00DB52AC">
        <w:trPr>
          <w:trHeight w:val="250"/>
        </w:trPr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2199830" w14:textId="77777777" w:rsidR="0078101D" w:rsidRPr="00DB52AC" w:rsidRDefault="0078101D" w:rsidP="0078101D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備註</w:t>
            </w:r>
          </w:p>
        </w:tc>
        <w:tc>
          <w:tcPr>
            <w:tcW w:w="4868" w:type="pct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3B12C0" w14:textId="62F9F2C0" w:rsidR="0078101D" w:rsidRPr="00DB52AC" w:rsidRDefault="0078101D" w:rsidP="0078101D">
            <w:pPr>
              <w:pStyle w:val="11"/>
              <w:spacing w:line="180" w:lineRule="exact"/>
              <w:ind w:left="90" w:hangingChars="50" w:hanging="9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1.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師資公費生檢附原規劃修讀計畫</w:t>
            </w:r>
            <w:r w:rsid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及相關項目佐證資料</w:t>
            </w:r>
          </w:p>
          <w:p w14:paraId="19651287" w14:textId="4B7A62E0" w:rsidR="0078101D" w:rsidRPr="00DB52AC" w:rsidRDefault="0078101D" w:rsidP="0078101D">
            <w:pPr>
              <w:pStyle w:val="11"/>
              <w:spacing w:line="180" w:lineRule="exact"/>
              <w:ind w:left="144" w:hangingChars="80" w:hanging="144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2.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每學期開學第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週內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師資公費生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完成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前一學期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表現檢核表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及佐證資料，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表現檢核表送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輔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導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導師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、培育系所主任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審核、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師培中心綜合行政組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、組長</w:t>
            </w:r>
            <w:r w:rsidRPr="00DB52AC">
              <w:rPr>
                <w:rFonts w:ascii="Times New Roman" w:eastAsia="標楷體" w:hAnsi="Times New Roman" w:cs="Times New Roman"/>
                <w:sz w:val="18"/>
                <w:szCs w:val="18"/>
              </w:rPr>
              <w:t>複核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，正本師培中心留存、影本副知培育學系</w:t>
            </w:r>
          </w:p>
          <w:p w14:paraId="31627573" w14:textId="72161F7E" w:rsidR="0078101D" w:rsidRPr="00DB52AC" w:rsidRDefault="0078101D" w:rsidP="0078101D">
            <w:pPr>
              <w:pStyle w:val="11"/>
              <w:spacing w:line="180" w:lineRule="exact"/>
              <w:ind w:left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3.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依本校師資公費生甄選培育與輔導要點第十三點規定</w:t>
            </w:r>
            <w:r w:rsid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項目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</w:t>
            </w:r>
            <w:r w:rsid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並於分發</w:t>
            </w:r>
            <w:r w:rsid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畢業</w:t>
            </w:r>
            <w:r w:rsid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前完成，未完成者將</w:t>
            </w:r>
            <w:r w:rsidRPr="00DB52A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終止公費受領並喪失接受分發之權利</w:t>
            </w:r>
          </w:p>
          <w:p w14:paraId="439B99ED" w14:textId="1731D2A2" w:rsidR="0078101D" w:rsidRPr="00D52A51" w:rsidRDefault="0078101D" w:rsidP="0078101D">
            <w:pPr>
              <w:pStyle w:val="11"/>
              <w:spacing w:line="180" w:lineRule="exact"/>
              <w:ind w:left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4.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註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普通課程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指大學部或研究所學制應修畢業學分</w:t>
            </w:r>
          </w:p>
          <w:p w14:paraId="47853DC7" w14:textId="4C683FCC" w:rsidR="0078101D" w:rsidRPr="00D52A51" w:rsidRDefault="0078101D" w:rsidP="0078101D">
            <w:pPr>
              <w:pStyle w:val="11"/>
              <w:spacing w:line="180" w:lineRule="exact"/>
              <w:ind w:left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註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教育學程專業課程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小教36學分/幼教46學分/特教28學分</w:t>
            </w:r>
          </w:p>
          <w:p w14:paraId="3B4547EE" w14:textId="506C10A7" w:rsidR="0078101D" w:rsidRPr="00D52A51" w:rsidRDefault="0078101D" w:rsidP="0078101D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註3教育學程</w:t>
            </w:r>
            <w:r w:rsidRPr="00D52A51">
              <w:rPr>
                <w:rFonts w:ascii="標楷體" w:eastAsia="標楷體" w:hAnsi="標楷體"/>
                <w:sz w:val="18"/>
                <w:szCs w:val="18"/>
              </w:rPr>
              <w:t>專門課程</w:t>
            </w:r>
            <w:r w:rsidRPr="00D52A51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 w:rsidRPr="00D52A51">
              <w:rPr>
                <w:rFonts w:ascii="標楷體" w:eastAsia="標楷體" w:hAnsi="標楷體"/>
                <w:sz w:val="18"/>
                <w:szCs w:val="18"/>
              </w:rPr>
              <w:t>小教10學分/幼教4學分/特教20學分</w:t>
            </w:r>
          </w:p>
          <w:p w14:paraId="5D5CFB6F" w14:textId="38A8876C" w:rsidR="0078101D" w:rsidRPr="00D52A51" w:rsidRDefault="0078101D" w:rsidP="0078101D">
            <w:pPr>
              <w:pStyle w:val="11"/>
              <w:spacing w:line="180" w:lineRule="exact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註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具備課程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依縣市需求規定，原住民籍需修習原民相關課程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20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學分</w:t>
            </w:r>
          </w:p>
          <w:p w14:paraId="786CED08" w14:textId="62C70767" w:rsidR="0078101D" w:rsidRPr="00D52A51" w:rsidRDefault="0078101D" w:rsidP="0078101D">
            <w:pPr>
              <w:pStyle w:val="11"/>
              <w:spacing w:line="180" w:lineRule="exact"/>
              <w:ind w:left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註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5 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義務服務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史懷哲服務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112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小時於公費受領期間至少服務一次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可抵認當學年度義務服務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72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小時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2280EB8E" w14:textId="6229510A" w:rsidR="0078101D" w:rsidRPr="00D52A51" w:rsidRDefault="0078101D" w:rsidP="0078101D">
            <w:pPr>
              <w:pStyle w:val="11"/>
              <w:spacing w:line="180" w:lineRule="exact"/>
              <w:ind w:left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註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義務服務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部落服務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周，限原住民籍師資公費生，抵認史懷哲服務</w:t>
            </w:r>
          </w:p>
          <w:p w14:paraId="6047ECE8" w14:textId="4D5CB738" w:rsidR="0078101D" w:rsidRPr="00D52A51" w:rsidRDefault="0078101D" w:rsidP="0078101D">
            <w:pPr>
              <w:pStyle w:val="11"/>
              <w:spacing w:line="180" w:lineRule="exact"/>
              <w:ind w:left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註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語文能力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B66DD6">
              <w:rPr>
                <w:rFonts w:ascii="Times New Roman" w:eastAsia="標楷體" w:hAnsi="Times New Roman" w:cs="Times New Roman" w:hint="eastAsia"/>
                <w:color w:val="FF0000"/>
                <w:sz w:val="18"/>
                <w:szCs w:val="18"/>
              </w:rPr>
              <w:t>一般</w:t>
            </w:r>
            <w:r w:rsidR="00B66DD6" w:rsidRPr="00B66DD6">
              <w:rPr>
                <w:rFonts w:ascii="Times New Roman" w:eastAsia="標楷體" w:hAnsi="Times New Roman" w:cs="Times New Roman" w:hint="eastAsia"/>
                <w:color w:val="FF0000"/>
                <w:sz w:val="18"/>
                <w:szCs w:val="18"/>
              </w:rPr>
              <w:t>師資公費生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國民小學、特教、幼教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均需取得英語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B1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；加註英語文及雙語教學次專長需取得英語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B</w:t>
            </w:r>
            <w:r w:rsidRPr="00D52A5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  <w:p w14:paraId="3AA4FA2F" w14:textId="77777777" w:rsidR="0078101D" w:rsidRPr="00D52A51" w:rsidRDefault="0078101D" w:rsidP="0078101D">
            <w:pPr>
              <w:pStyle w:val="11"/>
              <w:spacing w:line="180" w:lineRule="exact"/>
              <w:ind w:left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註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語文能力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原住民籍師資公費生需取得族語中高級通過，不需通過英語能力認證</w:t>
            </w:r>
          </w:p>
          <w:p w14:paraId="46F4FE0C" w14:textId="55D72EEB" w:rsidR="00D52A51" w:rsidRPr="00DB52AC" w:rsidRDefault="00D52A51" w:rsidP="00D52A51">
            <w:pPr>
              <w:pStyle w:val="11"/>
              <w:spacing w:line="180" w:lineRule="exact"/>
              <w:ind w:left="0"/>
              <w:jc w:val="both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5.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若有未完成項目，由輔導導師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填寫輔導紀錄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表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師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04-001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表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003)</w:t>
            </w:r>
            <w:r w:rsidRPr="00D52A5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進行未完成項目輔導，後送師培中心綜合行政組承辦人進行填寫及紀錄，組長及主任複核後副本知會師資公費生及系所。</w:t>
            </w:r>
          </w:p>
        </w:tc>
      </w:tr>
    </w:tbl>
    <w:p w14:paraId="16E62FA0" w14:textId="7BC5861B" w:rsidR="00450A73" w:rsidRPr="0078101D" w:rsidRDefault="00343FCE" w:rsidP="0078101D">
      <w:pPr>
        <w:jc w:val="right"/>
        <w:rPr>
          <w:rFonts w:ascii="標楷體" w:eastAsia="標楷體" w:hAnsi="標楷體"/>
          <w:sz w:val="20"/>
        </w:rPr>
      </w:pPr>
      <w:r w:rsidRPr="0078101D">
        <w:rPr>
          <w:rFonts w:ascii="標楷體" w:eastAsia="標楷體" w:hAnsi="標楷體" w:hint="eastAsia"/>
          <w:sz w:val="20"/>
        </w:rPr>
        <w:t>師04-001表00</w:t>
      </w:r>
      <w:r w:rsidR="00D52A51">
        <w:rPr>
          <w:rFonts w:ascii="標楷體" w:eastAsia="標楷體" w:hAnsi="標楷體" w:hint="eastAsia"/>
          <w:sz w:val="20"/>
        </w:rPr>
        <w:t>2</w:t>
      </w:r>
    </w:p>
    <w:sectPr w:rsidR="00450A73" w:rsidRPr="0078101D" w:rsidSect="00D872D5">
      <w:pgSz w:w="16838" w:h="11906" w:orient="landscape"/>
      <w:pgMar w:top="284" w:right="284" w:bottom="284" w:left="284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F36F" w14:textId="77777777" w:rsidR="003552AE" w:rsidRDefault="003552AE" w:rsidP="00343FCE">
      <w:r>
        <w:separator/>
      </w:r>
    </w:p>
  </w:endnote>
  <w:endnote w:type="continuationSeparator" w:id="0">
    <w:p w14:paraId="76F9E860" w14:textId="77777777" w:rsidR="003552AE" w:rsidRDefault="003552AE" w:rsidP="0034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90">
    <w:altName w:val="微軟正黑體"/>
    <w:charset w:val="88"/>
    <w:family w:val="auto"/>
    <w:pitch w:val="variable"/>
  </w:font>
  <w:font w:name="Liberation Sans">
    <w:altName w:val="Adobe 繁黑體 Std B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BFF7" w14:textId="77777777" w:rsidR="003552AE" w:rsidRDefault="003552AE" w:rsidP="00343FCE">
      <w:r>
        <w:separator/>
      </w:r>
    </w:p>
  </w:footnote>
  <w:footnote w:type="continuationSeparator" w:id="0">
    <w:p w14:paraId="7AB32CA5" w14:textId="77777777" w:rsidR="003552AE" w:rsidRDefault="003552AE" w:rsidP="0034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/>
        <w:color w:val="00000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08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73"/>
    <w:rsid w:val="0002664B"/>
    <w:rsid w:val="00087AF1"/>
    <w:rsid w:val="0009327E"/>
    <w:rsid w:val="000B1574"/>
    <w:rsid w:val="001537A5"/>
    <w:rsid w:val="001B2202"/>
    <w:rsid w:val="001F0190"/>
    <w:rsid w:val="002911ED"/>
    <w:rsid w:val="00333935"/>
    <w:rsid w:val="00343FCE"/>
    <w:rsid w:val="003552AE"/>
    <w:rsid w:val="0037142F"/>
    <w:rsid w:val="003919BA"/>
    <w:rsid w:val="004310BE"/>
    <w:rsid w:val="00450A73"/>
    <w:rsid w:val="00466B7E"/>
    <w:rsid w:val="00493C9D"/>
    <w:rsid w:val="004C2A51"/>
    <w:rsid w:val="004F7A98"/>
    <w:rsid w:val="005361EE"/>
    <w:rsid w:val="00561682"/>
    <w:rsid w:val="00683424"/>
    <w:rsid w:val="006B05B3"/>
    <w:rsid w:val="006B1071"/>
    <w:rsid w:val="006B272A"/>
    <w:rsid w:val="0078101D"/>
    <w:rsid w:val="007E2E07"/>
    <w:rsid w:val="008701EA"/>
    <w:rsid w:val="008B5879"/>
    <w:rsid w:val="00913199"/>
    <w:rsid w:val="00917B67"/>
    <w:rsid w:val="009C6FB2"/>
    <w:rsid w:val="00AD2584"/>
    <w:rsid w:val="00B66DD6"/>
    <w:rsid w:val="00B705E3"/>
    <w:rsid w:val="00B73E75"/>
    <w:rsid w:val="00B74F94"/>
    <w:rsid w:val="00BD707A"/>
    <w:rsid w:val="00C60EF2"/>
    <w:rsid w:val="00CB3AC9"/>
    <w:rsid w:val="00D52A51"/>
    <w:rsid w:val="00D872D5"/>
    <w:rsid w:val="00DB52AC"/>
    <w:rsid w:val="00DB69D5"/>
    <w:rsid w:val="00E35AF1"/>
    <w:rsid w:val="00E37760"/>
    <w:rsid w:val="00E37D46"/>
    <w:rsid w:val="00E410DC"/>
    <w:rsid w:val="00E7058D"/>
    <w:rsid w:val="00F47C1D"/>
    <w:rsid w:val="00F936EA"/>
    <w:rsid w:val="00F94B55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64A7AF"/>
  <w15:docId w15:val="{66DF233F-4090-4803-84C5-B73F6A5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font690" w:hAnsi="Calibri" w:cs="新細明體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ListLabel1">
    <w:name w:val="ListLabel 1"/>
    <w:rPr>
      <w:rFonts w:ascii="標楷體" w:hAnsi="標楷體"/>
      <w:color w:val="00000A"/>
      <w:sz w:val="28"/>
    </w:rPr>
  </w:style>
  <w:style w:type="character" w:customStyle="1" w:styleId="ListLabel2">
    <w:name w:val="ListLabel 2"/>
    <w:rPr>
      <w:rFonts w:ascii="標楷體" w:hAnsi="標楷體"/>
      <w:color w:val="00000A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10">
    <w:name w:val="標號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清單段落1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49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3C9D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3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3FCE"/>
    <w:rPr>
      <w:rFonts w:ascii="Calibri" w:eastAsia="font690" w:hAnsi="Calibri" w:cs="新細明體"/>
      <w:kern w:val="1"/>
    </w:rPr>
  </w:style>
  <w:style w:type="paragraph" w:styleId="ac">
    <w:name w:val="footer"/>
    <w:basedOn w:val="a"/>
    <w:link w:val="ad"/>
    <w:uiPriority w:val="99"/>
    <w:unhideWhenUsed/>
    <w:rsid w:val="00343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43FCE"/>
    <w:rPr>
      <w:rFonts w:ascii="Calibri" w:eastAsia="font690" w:hAnsi="Calibri" w:cs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24107;&#36039;&#22521;&#32946;&#20844;&#36027;&#29983;&#23416;&#26399;&#34920;&#29694;&#27298;&#26680;&#34920;(109&#23416;&#24180;&#24230;&#36215;&#36969;&#2999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師資培育公費生學期表現檢核表(109學年度起適用)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2021-11-15T06:07:00Z</cp:lastPrinted>
  <dcterms:created xsi:type="dcterms:W3CDTF">2021-12-21T08:02:00Z</dcterms:created>
  <dcterms:modified xsi:type="dcterms:W3CDTF">2021-12-21T08:10:00Z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