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86" w:rsidRPr="00812468" w:rsidRDefault="008E7586" w:rsidP="008E7586">
      <w:pPr>
        <w:pStyle w:val="2"/>
        <w:spacing w:beforeLines="50" w:before="180" w:line="500" w:lineRule="exact"/>
        <w:ind w:left="0"/>
        <w:jc w:val="both"/>
        <w:rPr>
          <w:rFonts w:ascii="Times New Roman" w:hAnsi="Times New Roman"/>
          <w:color w:val="000000" w:themeColor="text1"/>
          <w:spacing w:val="-1"/>
          <w:sz w:val="24"/>
          <w:szCs w:val="24"/>
          <w:lang w:eastAsia="zh-TW"/>
        </w:rPr>
      </w:pPr>
      <w:r w:rsidRPr="00812468">
        <w:rPr>
          <w:rFonts w:ascii="Times New Roman" w:hAnsi="Times New Roman" w:hint="eastAsia"/>
          <w:color w:val="000000" w:themeColor="text1"/>
          <w:spacing w:val="-1"/>
          <w:sz w:val="24"/>
          <w:szCs w:val="24"/>
          <w:lang w:eastAsia="zh-TW"/>
        </w:rPr>
        <w:t>表</w:t>
      </w:r>
      <w:r w:rsidRPr="00812468">
        <w:rPr>
          <w:rFonts w:ascii="Times New Roman" w:hAnsi="Times New Roman" w:hint="eastAsia"/>
          <w:color w:val="000000" w:themeColor="text1"/>
          <w:spacing w:val="-1"/>
          <w:sz w:val="24"/>
          <w:szCs w:val="24"/>
          <w:lang w:eastAsia="zh-TW"/>
        </w:rPr>
        <w:t xml:space="preserve">3 </w:t>
      </w:r>
      <w:r w:rsidRPr="00812468">
        <w:rPr>
          <w:rFonts w:ascii="Times New Roman" w:hAnsi="Times New Roman"/>
          <w:color w:val="000000" w:themeColor="text1"/>
          <w:spacing w:val="-1"/>
          <w:sz w:val="24"/>
          <w:szCs w:val="24"/>
          <w:lang w:eastAsia="zh-TW"/>
        </w:rPr>
        <w:t>(</w:t>
      </w:r>
      <w:r w:rsidRPr="00812468">
        <w:rPr>
          <w:rFonts w:ascii="Times New Roman" w:hAnsi="Times New Roman" w:hint="eastAsia"/>
          <w:color w:val="000000" w:themeColor="text1"/>
          <w:spacing w:val="-1"/>
          <w:sz w:val="24"/>
          <w:szCs w:val="24"/>
          <w:lang w:eastAsia="zh-TW"/>
        </w:rPr>
        <w:t>二</w:t>
      </w:r>
      <w:r w:rsidRPr="00812468">
        <w:rPr>
          <w:rFonts w:ascii="Times New Roman" w:hAnsi="Times New Roman"/>
          <w:color w:val="000000" w:themeColor="text1"/>
          <w:spacing w:val="-1"/>
          <w:sz w:val="24"/>
          <w:szCs w:val="24"/>
          <w:lang w:eastAsia="zh-TW"/>
        </w:rPr>
        <w:t>)</w:t>
      </w:r>
      <w:r w:rsidRPr="00812468">
        <w:rPr>
          <w:rFonts w:ascii="Times New Roman" w:hAnsi="Times New Roman" w:hint="eastAsia"/>
          <w:color w:val="000000" w:themeColor="text1"/>
          <w:spacing w:val="-1"/>
          <w:sz w:val="24"/>
          <w:szCs w:val="24"/>
          <w:lang w:eastAsia="zh-TW"/>
        </w:rPr>
        <w:t>師資培育評鑑關鍵指標</w:t>
      </w:r>
      <w:bookmarkStart w:id="0" w:name="_GoBack"/>
      <w:bookmarkEnd w:id="0"/>
    </w:p>
    <w:tbl>
      <w:tblPr>
        <w:tblStyle w:val="a3"/>
        <w:tblW w:w="5000" w:type="pct"/>
        <w:tblLook w:val="04A0" w:firstRow="1" w:lastRow="0" w:firstColumn="1" w:lastColumn="0" w:noHBand="0" w:noVBand="1"/>
      </w:tblPr>
      <w:tblGrid>
        <w:gridCol w:w="3275"/>
        <w:gridCol w:w="3918"/>
        <w:gridCol w:w="2661"/>
      </w:tblGrid>
      <w:tr w:rsidR="008E7586" w:rsidRPr="00812468" w:rsidTr="00AE65CE">
        <w:trPr>
          <w:tblHeader/>
        </w:trPr>
        <w:tc>
          <w:tcPr>
            <w:tcW w:w="1662" w:type="pct"/>
            <w:shd w:val="clear" w:color="auto" w:fill="D9D9D9" w:themeFill="background1" w:themeFillShade="D9"/>
          </w:tcPr>
          <w:p w:rsidR="008E7586" w:rsidRPr="00812468" w:rsidRDefault="008E7586"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1988" w:type="pct"/>
            <w:shd w:val="clear" w:color="auto" w:fill="D9D9D9" w:themeFill="background1" w:themeFillShade="D9"/>
          </w:tcPr>
          <w:p w:rsidR="008E7586" w:rsidRPr="00812468" w:rsidRDefault="008E7586"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內涵</w:t>
            </w:r>
          </w:p>
        </w:tc>
        <w:tc>
          <w:tcPr>
            <w:tcW w:w="1350" w:type="pct"/>
            <w:shd w:val="clear" w:color="auto" w:fill="D9D9D9" w:themeFill="background1" w:themeFillShade="D9"/>
          </w:tcPr>
          <w:p w:rsidR="008E7586" w:rsidRPr="00812468" w:rsidRDefault="008E7586"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對應項目標準</w:t>
            </w:r>
          </w:p>
        </w:tc>
      </w:tr>
      <w:tr w:rsidR="008E7586" w:rsidRPr="00812468" w:rsidTr="00AE65CE">
        <w:trPr>
          <w:trHeight w:val="120"/>
        </w:trPr>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師資培育在校務發展計畫中之重視</w:t>
            </w:r>
          </w:p>
        </w:tc>
        <w:tc>
          <w:tcPr>
            <w:tcW w:w="1988" w:type="pct"/>
          </w:tcPr>
          <w:p w:rsidR="008E7586" w:rsidRPr="00812468" w:rsidRDefault="008E7586" w:rsidP="00AE65CE">
            <w:pPr>
              <w:spacing w:line="400" w:lineRule="exact"/>
              <w:ind w:left="168" w:hangingChars="70" w:hanging="16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校務發展計畫中至少有對培育「符應新時代教育現場需求之優質特色師資」之策略與行動規劃</w:t>
            </w:r>
          </w:p>
        </w:tc>
        <w:tc>
          <w:tcPr>
            <w:tcW w:w="1350" w:type="pct"/>
          </w:tcPr>
          <w:p w:rsidR="008E7586" w:rsidRPr="00812468" w:rsidRDefault="008E7586"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2-1</w:t>
            </w:r>
            <w:r w:rsidRPr="00812468">
              <w:rPr>
                <w:rFonts w:ascii="Times New Roman" w:eastAsia="標楷體" w:hAnsi="Times New Roman" w:cs="標楷體" w:hint="eastAsia"/>
                <w:color w:val="000000" w:themeColor="text1"/>
                <w:sz w:val="24"/>
                <w:szCs w:val="24"/>
                <w:lang w:eastAsia="zh-TW"/>
              </w:rPr>
              <w:t>師資培育在校務發展計畫與學校組織中之定位</w:t>
            </w:r>
          </w:p>
        </w:tc>
      </w:tr>
      <w:tr w:rsidR="008E7586" w:rsidRPr="00812468" w:rsidTr="00AE65CE">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師資數量</w:t>
            </w:r>
          </w:p>
        </w:tc>
        <w:tc>
          <w:tcPr>
            <w:tcW w:w="1988" w:type="pct"/>
          </w:tcPr>
          <w:p w:rsidR="008E7586" w:rsidRPr="00812468" w:rsidRDefault="008E7586" w:rsidP="00AE65CE">
            <w:pPr>
              <w:spacing w:line="400" w:lineRule="exact"/>
              <w:ind w:left="168" w:hangingChars="70" w:hanging="16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不計最低專任師資員額</w:t>
            </w:r>
          </w:p>
          <w:p w:rsidR="008E7586" w:rsidRPr="00812468" w:rsidRDefault="008E7586" w:rsidP="00AE65CE">
            <w:pPr>
              <w:spacing w:line="400" w:lineRule="exact"/>
              <w:ind w:left="168" w:hangingChars="70" w:hanging="16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師資培育教育專業課程由任教學科專長相符之專任教師授課比例至少為</w:t>
            </w:r>
            <w:r w:rsidRPr="00812468">
              <w:rPr>
                <w:rFonts w:ascii="Times New Roman" w:eastAsia="標楷體" w:hAnsi="Times New Roman" w:cs="標楷體" w:hint="eastAsia"/>
                <w:color w:val="000000" w:themeColor="text1"/>
                <w:sz w:val="24"/>
                <w:szCs w:val="24"/>
                <w:lang w:eastAsia="zh-TW"/>
              </w:rPr>
              <w:t>75%</w:t>
            </w:r>
          </w:p>
          <w:p w:rsidR="008E7586" w:rsidRPr="00812468" w:rsidRDefault="008E7586" w:rsidP="00AE65CE">
            <w:pPr>
              <w:spacing w:line="400" w:lineRule="exact"/>
              <w:ind w:left="168" w:hangingChars="70" w:hanging="16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3</w:t>
            </w:r>
            <w:r w:rsidRPr="00812468">
              <w:rPr>
                <w:rFonts w:ascii="Times New Roman" w:eastAsia="標楷體" w:hAnsi="Times New Roman" w:cs="標楷體" w:hint="eastAsia"/>
                <w:color w:val="000000" w:themeColor="text1"/>
                <w:sz w:val="24"/>
                <w:szCs w:val="24"/>
                <w:lang w:eastAsia="zh-TW"/>
              </w:rPr>
              <w:t>.</w:t>
            </w:r>
            <w:r w:rsidRPr="00812468">
              <w:rPr>
                <w:rFonts w:ascii="Times New Roman" w:eastAsia="標楷體" w:hAnsi="Times New Roman" w:cs="標楷體" w:hint="eastAsia"/>
                <w:color w:val="000000" w:themeColor="text1"/>
                <w:sz w:val="24"/>
                <w:szCs w:val="24"/>
                <w:lang w:eastAsia="zh-TW"/>
              </w:rPr>
              <w:t>若已符合上週期師資數量標準之優良單位，得以持續</w:t>
            </w:r>
          </w:p>
        </w:tc>
        <w:tc>
          <w:tcPr>
            <w:tcW w:w="1350" w:type="pct"/>
          </w:tcPr>
          <w:p w:rsidR="008E7586" w:rsidRPr="00812468" w:rsidRDefault="008E7586"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4-1</w:t>
            </w:r>
            <w:r w:rsidRPr="00812468">
              <w:rPr>
                <w:rFonts w:ascii="Times New Roman" w:eastAsia="標楷體" w:hAnsi="Times New Roman" w:cs="標楷體" w:hint="eastAsia"/>
                <w:color w:val="000000" w:themeColor="text1"/>
                <w:sz w:val="24"/>
                <w:szCs w:val="24"/>
                <w:lang w:eastAsia="zh-TW"/>
              </w:rPr>
              <w:t>教師質量符合課程規劃需求</w:t>
            </w:r>
          </w:p>
        </w:tc>
      </w:tr>
      <w:tr w:rsidR="008E7586" w:rsidRPr="00812468" w:rsidTr="00AE65CE">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3.</w:t>
            </w:r>
            <w:r w:rsidRPr="00812468">
              <w:rPr>
                <w:rFonts w:ascii="Times New Roman" w:eastAsia="標楷體" w:hAnsi="Times New Roman" w:cs="標楷體" w:hint="eastAsia"/>
                <w:color w:val="000000" w:themeColor="text1"/>
                <w:sz w:val="24"/>
                <w:szCs w:val="24"/>
                <w:lang w:eastAsia="zh-TW"/>
              </w:rPr>
              <w:t>行政支援人力</w:t>
            </w:r>
          </w:p>
        </w:tc>
        <w:tc>
          <w:tcPr>
            <w:tcW w:w="1988" w:type="pct"/>
          </w:tcPr>
          <w:p w:rsidR="008E7586" w:rsidRPr="00812468" w:rsidRDefault="008E7586" w:rsidP="00AE65CE">
            <w:pPr>
              <w:spacing w:line="400" w:lineRule="exact"/>
              <w:ind w:left="168" w:hangingChars="70" w:hanging="16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依學校組織規程與中心設置辦法之規定，編列雇用正式之專職行政人力（含約聘雇人力）</w:t>
            </w:r>
          </w:p>
          <w:p w:rsidR="008E7586" w:rsidRPr="00812468" w:rsidRDefault="008E7586" w:rsidP="00AE65CE">
            <w:pPr>
              <w:spacing w:line="400" w:lineRule="exact"/>
              <w:ind w:left="168" w:hangingChars="70" w:hanging="16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學校每年核給一定額度之工讀時數</w:t>
            </w:r>
          </w:p>
        </w:tc>
        <w:tc>
          <w:tcPr>
            <w:tcW w:w="1350" w:type="pct"/>
          </w:tcPr>
          <w:p w:rsidR="008E7586" w:rsidRPr="00812468" w:rsidRDefault="008E7586"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2-1</w:t>
            </w:r>
            <w:r w:rsidRPr="00812468">
              <w:rPr>
                <w:rFonts w:ascii="Times New Roman" w:eastAsia="標楷體" w:hAnsi="Times New Roman" w:cs="標楷體" w:hint="eastAsia"/>
                <w:color w:val="000000" w:themeColor="text1"/>
                <w:sz w:val="24"/>
                <w:szCs w:val="24"/>
                <w:lang w:eastAsia="zh-TW"/>
              </w:rPr>
              <w:t>師資培育在校務發展計畫與學校組織中之定位</w:t>
            </w:r>
          </w:p>
        </w:tc>
      </w:tr>
      <w:tr w:rsidR="008E7586" w:rsidRPr="00812468" w:rsidTr="00AE65CE">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4.</w:t>
            </w:r>
            <w:r w:rsidRPr="00812468">
              <w:rPr>
                <w:rFonts w:ascii="Times New Roman" w:eastAsia="標楷體" w:hAnsi="Times New Roman" w:cs="標楷體" w:hint="eastAsia"/>
                <w:color w:val="000000" w:themeColor="text1"/>
                <w:sz w:val="24"/>
                <w:szCs w:val="24"/>
                <w:lang w:eastAsia="zh-TW"/>
              </w:rPr>
              <w:t>師資生通過教師資格檢定</w:t>
            </w:r>
          </w:p>
        </w:tc>
        <w:tc>
          <w:tcPr>
            <w:tcW w:w="1988" w:type="pct"/>
          </w:tcPr>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分成一般學科、體育、藝術與人文三類</w:t>
            </w:r>
          </w:p>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三年平均在全國平均通過率以上或近三年平均通過率在全國平均減</w:t>
            </w:r>
            <w:r w:rsidRPr="00812468">
              <w:rPr>
                <w:rFonts w:ascii="Times New Roman" w:eastAsia="標楷體" w:hAnsi="Times New Roman" w:cs="標楷體" w:hint="eastAsia"/>
                <w:color w:val="000000" w:themeColor="text1"/>
                <w:sz w:val="24"/>
                <w:szCs w:val="24"/>
                <w:lang w:eastAsia="zh-TW"/>
              </w:rPr>
              <w:t>10%</w:t>
            </w:r>
            <w:r w:rsidRPr="00812468">
              <w:rPr>
                <w:rFonts w:ascii="Times New Roman" w:eastAsia="標楷體" w:hAnsi="Times New Roman" w:cs="標楷體" w:hint="eastAsia"/>
                <w:color w:val="000000" w:themeColor="text1"/>
                <w:sz w:val="24"/>
                <w:szCs w:val="24"/>
                <w:lang w:eastAsia="zh-TW"/>
              </w:rPr>
              <w:t>以上，但通過率呈逐年進步趨勢</w:t>
            </w:r>
          </w:p>
        </w:tc>
        <w:tc>
          <w:tcPr>
            <w:tcW w:w="1350" w:type="pct"/>
          </w:tcPr>
          <w:p w:rsidR="008E7586" w:rsidRPr="00812468" w:rsidRDefault="008E7586" w:rsidP="00AE65CE">
            <w:pPr>
              <w:spacing w:line="360" w:lineRule="exact"/>
              <w:ind w:left="240" w:hangingChars="100" w:hanging="240"/>
              <w:jc w:val="both"/>
              <w:rPr>
                <w:rFonts w:ascii="Times New Roman" w:eastAsia="標楷體" w:hAnsi="Times New Roman" w:cs="標楷體"/>
                <w:color w:val="000000" w:themeColor="text1"/>
                <w:sz w:val="24"/>
                <w:szCs w:val="24"/>
                <w:lang w:eastAsia="zh-TW"/>
              </w:rPr>
            </w:pPr>
          </w:p>
        </w:tc>
      </w:tr>
      <w:tr w:rsidR="008E7586" w:rsidRPr="00812468" w:rsidTr="00AE65CE">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5.</w:t>
            </w:r>
            <w:r w:rsidRPr="00812468">
              <w:rPr>
                <w:rFonts w:ascii="Times New Roman" w:eastAsia="標楷體" w:hAnsi="Times New Roman" w:cs="標楷體" w:hint="eastAsia"/>
                <w:color w:val="000000" w:themeColor="text1"/>
                <w:sz w:val="24"/>
                <w:szCs w:val="24"/>
                <w:lang w:eastAsia="zh-TW"/>
              </w:rPr>
              <w:t>畢業生擔任</w:t>
            </w:r>
            <w:proofErr w:type="gramStart"/>
            <w:r w:rsidRPr="00812468">
              <w:rPr>
                <w:rFonts w:ascii="Times New Roman" w:eastAsia="標楷體" w:hAnsi="Times New Roman" w:cs="標楷體" w:hint="eastAsia"/>
                <w:color w:val="000000" w:themeColor="text1"/>
                <w:sz w:val="24"/>
                <w:szCs w:val="24"/>
                <w:lang w:eastAsia="zh-TW"/>
              </w:rPr>
              <w:t>教職暨教育</w:t>
            </w:r>
            <w:proofErr w:type="gramEnd"/>
            <w:r w:rsidRPr="00812468">
              <w:rPr>
                <w:rFonts w:ascii="Times New Roman" w:eastAsia="標楷體" w:hAnsi="Times New Roman" w:cs="標楷體" w:hint="eastAsia"/>
                <w:color w:val="000000" w:themeColor="text1"/>
                <w:sz w:val="24"/>
                <w:szCs w:val="24"/>
                <w:lang w:eastAsia="zh-TW"/>
              </w:rPr>
              <w:t>相關工作情形</w:t>
            </w:r>
          </w:p>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p>
        </w:tc>
        <w:tc>
          <w:tcPr>
            <w:tcW w:w="1988" w:type="pct"/>
          </w:tcPr>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畢業生</w:t>
            </w:r>
            <w:proofErr w:type="gramStart"/>
            <w:r w:rsidRPr="00812468">
              <w:rPr>
                <w:rFonts w:ascii="Times New Roman" w:eastAsia="標楷體" w:hAnsi="Times New Roman" w:cs="標楷體" w:hint="eastAsia"/>
                <w:color w:val="000000" w:themeColor="text1"/>
                <w:sz w:val="24"/>
                <w:szCs w:val="24"/>
                <w:lang w:eastAsia="zh-TW"/>
              </w:rPr>
              <w:t>通過教檢之</w:t>
            </w:r>
            <w:proofErr w:type="gramEnd"/>
            <w:r w:rsidRPr="00812468">
              <w:rPr>
                <w:rFonts w:ascii="Times New Roman" w:eastAsia="標楷體" w:hAnsi="Times New Roman" w:cs="標楷體" w:hint="eastAsia"/>
                <w:color w:val="000000" w:themeColor="text1"/>
                <w:sz w:val="24"/>
                <w:szCs w:val="24"/>
                <w:lang w:eastAsia="zh-TW"/>
              </w:rPr>
              <w:t>年度與次二年，擔任正式教師、代理代課教師、或教育行政人員（含約聘僱）之人數超過</w:t>
            </w:r>
            <w:r w:rsidRPr="00812468">
              <w:rPr>
                <w:rFonts w:ascii="Times New Roman" w:eastAsia="標楷體" w:hAnsi="Times New Roman" w:cs="標楷體" w:hint="eastAsia"/>
                <w:color w:val="000000" w:themeColor="text1"/>
                <w:sz w:val="24"/>
                <w:szCs w:val="24"/>
                <w:lang w:eastAsia="zh-TW"/>
              </w:rPr>
              <w:t xml:space="preserve"> 50</w:t>
            </w:r>
            <w:r w:rsidRPr="00812468">
              <w:rPr>
                <w:rFonts w:ascii="Times New Roman" w:eastAsia="標楷體" w:hAnsi="Times New Roman" w:cs="標楷體" w:hint="eastAsia"/>
                <w:color w:val="000000" w:themeColor="text1"/>
                <w:sz w:val="24"/>
                <w:szCs w:val="24"/>
                <w:lang w:eastAsia="zh-TW"/>
              </w:rPr>
              <w:t>％</w:t>
            </w:r>
          </w:p>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畢業生</w:t>
            </w:r>
            <w:proofErr w:type="gramStart"/>
            <w:r w:rsidRPr="00812468">
              <w:rPr>
                <w:rFonts w:ascii="Times New Roman" w:eastAsia="標楷體" w:hAnsi="Times New Roman" w:cs="標楷體" w:hint="eastAsia"/>
                <w:color w:val="000000" w:themeColor="text1"/>
                <w:sz w:val="24"/>
                <w:szCs w:val="24"/>
                <w:lang w:eastAsia="zh-TW"/>
              </w:rPr>
              <w:t>通過教檢之</w:t>
            </w:r>
            <w:proofErr w:type="gramEnd"/>
            <w:r w:rsidRPr="00812468">
              <w:rPr>
                <w:rFonts w:ascii="Times New Roman" w:eastAsia="標楷體" w:hAnsi="Times New Roman" w:cs="標楷體" w:hint="eastAsia"/>
                <w:color w:val="000000" w:themeColor="text1"/>
                <w:sz w:val="24"/>
                <w:szCs w:val="24"/>
                <w:lang w:eastAsia="zh-TW"/>
              </w:rPr>
              <w:t>年度與次二年，擔任正式教師、代理代課教師、教育行政人員（含約聘僱），或文教機構從業人員之人數超過</w:t>
            </w:r>
            <w:r w:rsidRPr="00812468">
              <w:rPr>
                <w:rFonts w:ascii="Times New Roman" w:eastAsia="標楷體" w:hAnsi="Times New Roman" w:cs="標楷體" w:hint="eastAsia"/>
                <w:color w:val="000000" w:themeColor="text1"/>
                <w:sz w:val="24"/>
                <w:szCs w:val="24"/>
                <w:lang w:eastAsia="zh-TW"/>
              </w:rPr>
              <w:t>75</w:t>
            </w:r>
            <w:r w:rsidRPr="00812468">
              <w:rPr>
                <w:rFonts w:ascii="Times New Roman" w:eastAsia="標楷體" w:hAnsi="Times New Roman" w:cs="標楷體" w:hint="eastAsia"/>
                <w:color w:val="000000" w:themeColor="text1"/>
                <w:sz w:val="24"/>
                <w:szCs w:val="24"/>
                <w:lang w:eastAsia="zh-TW"/>
              </w:rPr>
              <w:t>％</w:t>
            </w:r>
          </w:p>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proofErr w:type="gramStart"/>
            <w:r w:rsidRPr="00812468">
              <w:rPr>
                <w:rFonts w:ascii="Times New Roman" w:eastAsia="標楷體" w:hAnsi="Times New Roman" w:cs="標楷體" w:hint="eastAsia"/>
                <w:color w:val="000000" w:themeColor="text1"/>
                <w:sz w:val="24"/>
                <w:szCs w:val="24"/>
                <w:lang w:eastAsia="zh-TW"/>
              </w:rPr>
              <w:t>註</w:t>
            </w:r>
            <w:proofErr w:type="gramEnd"/>
            <w:r w:rsidRPr="00812468">
              <w:rPr>
                <w:rFonts w:ascii="Times New Roman" w:eastAsia="標楷體" w:hAnsi="Times New Roman" w:cs="標楷體" w:hint="eastAsia"/>
                <w:color w:val="000000" w:themeColor="text1"/>
                <w:sz w:val="24"/>
                <w:szCs w:val="24"/>
                <w:lang w:eastAsia="zh-TW"/>
              </w:rPr>
              <w:t>：達到一項即通過。</w:t>
            </w:r>
          </w:p>
        </w:tc>
        <w:tc>
          <w:tcPr>
            <w:tcW w:w="1350" w:type="pct"/>
          </w:tcPr>
          <w:p w:rsidR="008E7586" w:rsidRPr="00812468" w:rsidRDefault="008E7586" w:rsidP="00AE65CE">
            <w:pPr>
              <w:spacing w:line="360" w:lineRule="exact"/>
              <w:ind w:left="240" w:hangingChars="100" w:hanging="240"/>
              <w:jc w:val="both"/>
              <w:rPr>
                <w:rFonts w:ascii="Times New Roman" w:eastAsia="標楷體" w:hAnsi="Times New Roman" w:cs="標楷體"/>
                <w:color w:val="000000" w:themeColor="text1"/>
                <w:sz w:val="24"/>
                <w:szCs w:val="24"/>
                <w:lang w:eastAsia="zh-TW"/>
              </w:rPr>
            </w:pPr>
          </w:p>
        </w:tc>
      </w:tr>
      <w:tr w:rsidR="008E7586" w:rsidRPr="00812468" w:rsidTr="00AE65CE">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6.</w:t>
            </w:r>
            <w:r w:rsidRPr="00812468">
              <w:rPr>
                <w:rFonts w:ascii="Times New Roman" w:eastAsia="標楷體" w:hAnsi="Times New Roman" w:cs="標楷體" w:hint="eastAsia"/>
                <w:color w:val="000000" w:themeColor="text1"/>
                <w:sz w:val="24"/>
                <w:szCs w:val="24"/>
                <w:lang w:eastAsia="zh-TW"/>
              </w:rPr>
              <w:t>配合辦理各項教育政策</w:t>
            </w:r>
          </w:p>
        </w:tc>
        <w:tc>
          <w:tcPr>
            <w:tcW w:w="1988" w:type="pct"/>
          </w:tcPr>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每年至少提出一項教育部公告與師資培育相關計畫之申請</w:t>
            </w:r>
          </w:p>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參與地方政府辦理地方教育輔導</w:t>
            </w:r>
          </w:p>
        </w:tc>
        <w:tc>
          <w:tcPr>
            <w:tcW w:w="1350" w:type="pct"/>
          </w:tcPr>
          <w:p w:rsidR="008E7586" w:rsidRPr="00812468" w:rsidRDefault="008E7586" w:rsidP="00AE65CE">
            <w:pPr>
              <w:spacing w:line="360" w:lineRule="exact"/>
              <w:ind w:left="192" w:hangingChars="80" w:hanging="192"/>
              <w:jc w:val="both"/>
              <w:rPr>
                <w:rFonts w:ascii="Times New Roman" w:eastAsia="標楷體" w:hAnsi="Times New Roman" w:cs="標楷體"/>
                <w:color w:val="000000" w:themeColor="text1"/>
                <w:sz w:val="24"/>
                <w:szCs w:val="24"/>
                <w:lang w:eastAsia="zh-TW"/>
              </w:rPr>
            </w:pPr>
          </w:p>
        </w:tc>
      </w:tr>
      <w:tr w:rsidR="008E7586" w:rsidRPr="00812468" w:rsidTr="00AE65CE">
        <w:tc>
          <w:tcPr>
            <w:tcW w:w="1662" w:type="pct"/>
          </w:tcPr>
          <w:p w:rsidR="008E7586" w:rsidRPr="00812468" w:rsidRDefault="008E7586" w:rsidP="00AE65CE">
            <w:pPr>
              <w:spacing w:line="400" w:lineRule="exact"/>
              <w:ind w:left="240" w:hangingChars="100" w:hanging="24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lastRenderedPageBreak/>
              <w:t>7.</w:t>
            </w:r>
            <w:r w:rsidRPr="00812468">
              <w:rPr>
                <w:rFonts w:ascii="Times New Roman" w:eastAsia="標楷體" w:hAnsi="Times New Roman" w:cs="標楷體" w:hint="eastAsia"/>
                <w:color w:val="000000" w:themeColor="text1"/>
                <w:sz w:val="24"/>
                <w:szCs w:val="24"/>
                <w:lang w:eastAsia="zh-TW"/>
              </w:rPr>
              <w:t>師資生社會公民責任養成</w:t>
            </w:r>
          </w:p>
        </w:tc>
        <w:tc>
          <w:tcPr>
            <w:tcW w:w="1988" w:type="pct"/>
          </w:tcPr>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1.</w:t>
            </w:r>
            <w:r w:rsidRPr="00812468">
              <w:rPr>
                <w:rFonts w:ascii="Times New Roman" w:eastAsia="標楷體" w:hAnsi="Times New Roman" w:cs="標楷體" w:hint="eastAsia"/>
                <w:color w:val="000000" w:themeColor="text1"/>
                <w:sz w:val="24"/>
                <w:szCs w:val="24"/>
                <w:lang w:eastAsia="zh-TW"/>
              </w:rPr>
              <w:t>每年至少輔導師資生組團至教學現場進行服務學習</w:t>
            </w:r>
          </w:p>
          <w:p w:rsidR="008E7586" w:rsidRPr="00812468" w:rsidRDefault="008E7586" w:rsidP="00AE65CE">
            <w:pPr>
              <w:spacing w:line="400" w:lineRule="exact"/>
              <w:ind w:left="192" w:hangingChars="80" w:hanging="19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2.</w:t>
            </w:r>
            <w:r w:rsidRPr="00812468">
              <w:rPr>
                <w:rFonts w:ascii="Times New Roman" w:eastAsia="標楷體" w:hAnsi="Times New Roman" w:cs="標楷體" w:hint="eastAsia"/>
                <w:color w:val="000000" w:themeColor="text1"/>
                <w:sz w:val="24"/>
                <w:szCs w:val="24"/>
                <w:lang w:eastAsia="zh-TW"/>
              </w:rPr>
              <w:t>師資生參與協助夥伴學校之學生學習活動</w:t>
            </w:r>
          </w:p>
        </w:tc>
        <w:tc>
          <w:tcPr>
            <w:tcW w:w="1350" w:type="pct"/>
          </w:tcPr>
          <w:p w:rsidR="008E7586" w:rsidRPr="00812468" w:rsidRDefault="008E7586"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color w:val="000000" w:themeColor="text1"/>
                <w:sz w:val="24"/>
                <w:szCs w:val="24"/>
                <w:lang w:eastAsia="zh-TW"/>
              </w:rPr>
              <w:t>2-4</w:t>
            </w:r>
            <w:r w:rsidRPr="00812468">
              <w:rPr>
                <w:rFonts w:ascii="Times New Roman" w:eastAsia="標楷體" w:hAnsi="Times New Roman" w:cs="標楷體" w:hint="eastAsia"/>
                <w:color w:val="000000" w:themeColor="text1"/>
                <w:sz w:val="24"/>
                <w:szCs w:val="24"/>
                <w:lang w:eastAsia="zh-TW"/>
              </w:rPr>
              <w:t>社會公民責任之作為</w:t>
            </w:r>
          </w:p>
        </w:tc>
      </w:tr>
    </w:tbl>
    <w:p w:rsidR="00D84C3D" w:rsidRDefault="00D84C3D"/>
    <w:sectPr w:rsidR="00D84C3D" w:rsidSect="008E758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86"/>
    <w:rsid w:val="00095831"/>
    <w:rsid w:val="008E7586"/>
    <w:rsid w:val="00BB0385"/>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586"/>
    <w:pPr>
      <w:widowControl w:val="0"/>
    </w:pPr>
    <w:rPr>
      <w:kern w:val="0"/>
      <w:sz w:val="22"/>
      <w:lang w:eastAsia="en-US"/>
    </w:rPr>
  </w:style>
  <w:style w:type="paragraph" w:styleId="2">
    <w:name w:val="heading 2"/>
    <w:basedOn w:val="a"/>
    <w:link w:val="20"/>
    <w:uiPriority w:val="9"/>
    <w:qFormat/>
    <w:rsid w:val="008E7586"/>
    <w:pPr>
      <w:ind w:left="220"/>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E7586"/>
    <w:rPr>
      <w:rFonts w:ascii="標楷體" w:eastAsia="標楷體" w:hAnsi="標楷體"/>
      <w:b/>
      <w:bCs/>
      <w:kern w:val="0"/>
      <w:sz w:val="28"/>
      <w:szCs w:val="28"/>
      <w:lang w:eastAsia="en-US"/>
    </w:rPr>
  </w:style>
  <w:style w:type="table" w:styleId="a3">
    <w:name w:val="Table Grid"/>
    <w:basedOn w:val="a1"/>
    <w:uiPriority w:val="39"/>
    <w:rsid w:val="008E7586"/>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586"/>
    <w:pPr>
      <w:widowControl w:val="0"/>
    </w:pPr>
    <w:rPr>
      <w:kern w:val="0"/>
      <w:sz w:val="22"/>
      <w:lang w:eastAsia="en-US"/>
    </w:rPr>
  </w:style>
  <w:style w:type="paragraph" w:styleId="2">
    <w:name w:val="heading 2"/>
    <w:basedOn w:val="a"/>
    <w:link w:val="20"/>
    <w:uiPriority w:val="9"/>
    <w:qFormat/>
    <w:rsid w:val="008E7586"/>
    <w:pPr>
      <w:ind w:left="220"/>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E7586"/>
    <w:rPr>
      <w:rFonts w:ascii="標楷體" w:eastAsia="標楷體" w:hAnsi="標楷體"/>
      <w:b/>
      <w:bCs/>
      <w:kern w:val="0"/>
      <w:sz w:val="28"/>
      <w:szCs w:val="28"/>
      <w:lang w:eastAsia="en-US"/>
    </w:rPr>
  </w:style>
  <w:style w:type="table" w:styleId="a3">
    <w:name w:val="Table Grid"/>
    <w:basedOn w:val="a1"/>
    <w:uiPriority w:val="39"/>
    <w:rsid w:val="008E7586"/>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2019-09-24T02:53:00Z</dcterms:created>
  <dcterms:modified xsi:type="dcterms:W3CDTF">2019-09-24T02:54:00Z</dcterms:modified>
</cp:coreProperties>
</file>