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00" w:rsidRDefault="00553200" w:rsidP="00553200">
      <w:pPr>
        <w:autoSpaceDE w:val="0"/>
        <w:autoSpaceDN w:val="0"/>
        <w:adjustRightInd w:val="0"/>
        <w:spacing w:line="200" w:lineRule="exact"/>
        <w:rPr>
          <w:rFonts w:ascii="微軟正黑體" w:eastAsia="微軟正黑體" w:hAnsi="Times New Roman" w:cs="微軟正黑體"/>
          <w:kern w:val="0"/>
          <w:sz w:val="20"/>
          <w:szCs w:val="20"/>
        </w:rPr>
      </w:pPr>
      <w:bookmarkStart w:id="0" w:name="_GoBack"/>
      <w:bookmarkEnd w:id="0"/>
    </w:p>
    <w:p w:rsidR="00F77D9E" w:rsidRDefault="00F77D9E" w:rsidP="00F77D9E">
      <w:pPr>
        <w:autoSpaceDE w:val="0"/>
        <w:autoSpaceDN w:val="0"/>
        <w:adjustRightInd w:val="0"/>
        <w:spacing w:line="357" w:lineRule="exact"/>
        <w:ind w:leftChars="-591" w:left="-20" w:right="-525" w:hangingChars="437" w:hanging="1398"/>
        <w:rPr>
          <w:rFonts w:ascii="微軟正黑體" w:eastAsia="微軟正黑體" w:hAnsi="Times New Roman" w:cs="微軟正黑體"/>
          <w:kern w:val="0"/>
          <w:sz w:val="32"/>
          <w:szCs w:val="32"/>
        </w:rPr>
      </w:pPr>
      <w:r>
        <w:rPr>
          <w:rFonts w:ascii="微軟正黑體" w:eastAsia="微軟正黑體" w:hAnsi="Times New Roman" w:cs="微軟正黑體" w:hint="eastAsia"/>
          <w:kern w:val="0"/>
          <w:sz w:val="32"/>
          <w:szCs w:val="32"/>
        </w:rPr>
        <w:t xml:space="preserve">      </w:t>
      </w:r>
      <w:r w:rsidR="00553200" w:rsidRPr="00F77D9E">
        <w:rPr>
          <w:rFonts w:ascii="微軟正黑體" w:eastAsia="微軟正黑體" w:hAnsi="Times New Roman" w:cs="微軟正黑體" w:hint="eastAsia"/>
          <w:kern w:val="0"/>
          <w:sz w:val="32"/>
          <w:szCs w:val="32"/>
        </w:rPr>
        <w:t>國立嘉義大學</w:t>
      </w:r>
      <w:r w:rsidR="00553200" w:rsidRPr="00F77D9E">
        <w:rPr>
          <w:rFonts w:ascii="微軟正黑體" w:eastAsia="微軟正黑體" w:hAnsi="Times New Roman" w:cs="微軟正黑體"/>
          <w:kern w:val="0"/>
          <w:sz w:val="32"/>
          <w:szCs w:val="32"/>
        </w:rPr>
        <w:t xml:space="preserve"> </w:t>
      </w:r>
      <w:r w:rsidR="00553200" w:rsidRPr="00F77D9E">
        <w:rPr>
          <w:rFonts w:ascii="Times New Roman" w:eastAsia="微軟正黑體" w:hAnsi="Times New Roman" w:cs="Times New Roman"/>
          <w:b/>
          <w:bCs/>
          <w:spacing w:val="-1"/>
          <w:kern w:val="0"/>
          <w:sz w:val="32"/>
          <w:szCs w:val="32"/>
        </w:rPr>
        <w:t>10</w:t>
      </w:r>
      <w:r w:rsidR="00553200" w:rsidRPr="00F77D9E">
        <w:rPr>
          <w:rFonts w:ascii="Times New Roman" w:eastAsia="微軟正黑體" w:hAnsi="Times New Roman" w:cs="Times New Roman"/>
          <w:b/>
          <w:bCs/>
          <w:kern w:val="0"/>
          <w:sz w:val="32"/>
          <w:szCs w:val="32"/>
        </w:rPr>
        <w:t>4</w:t>
      </w:r>
      <w:r w:rsidR="00553200" w:rsidRPr="00F77D9E">
        <w:rPr>
          <w:rFonts w:ascii="Times New Roman" w:eastAsia="微軟正黑體" w:hAnsi="Times New Roman" w:cs="Times New Roman"/>
          <w:b/>
          <w:bCs/>
          <w:spacing w:val="-2"/>
          <w:kern w:val="0"/>
          <w:sz w:val="32"/>
          <w:szCs w:val="32"/>
        </w:rPr>
        <w:t xml:space="preserve"> </w:t>
      </w:r>
      <w:r w:rsidR="00553200" w:rsidRPr="00F77D9E">
        <w:rPr>
          <w:rFonts w:ascii="微軟正黑體" w:eastAsia="微軟正黑體" w:hAnsi="Times New Roman" w:cs="微軟正黑體" w:hint="eastAsia"/>
          <w:kern w:val="0"/>
          <w:sz w:val="32"/>
          <w:szCs w:val="32"/>
        </w:rPr>
        <w:t>學年度各學系</w:t>
      </w:r>
      <w:r w:rsidR="00553200" w:rsidRPr="00F77D9E">
        <w:rPr>
          <w:rFonts w:ascii="微軟正黑體" w:eastAsia="微軟正黑體" w:hAnsi="Times New Roman" w:cs="微軟正黑體" w:hint="eastAsia"/>
          <w:spacing w:val="-2"/>
          <w:kern w:val="0"/>
          <w:sz w:val="32"/>
          <w:szCs w:val="32"/>
        </w:rPr>
        <w:t>專業</w:t>
      </w:r>
      <w:r w:rsidR="00553200" w:rsidRPr="00F77D9E">
        <w:rPr>
          <w:rFonts w:ascii="微軟正黑體" w:eastAsia="微軟正黑體" w:hAnsi="Times New Roman" w:cs="微軟正黑體" w:hint="eastAsia"/>
          <w:kern w:val="0"/>
          <w:sz w:val="32"/>
          <w:szCs w:val="32"/>
        </w:rPr>
        <w:t>選修學程</w:t>
      </w:r>
      <w:r w:rsidR="00553200" w:rsidRPr="00F77D9E">
        <w:rPr>
          <w:rFonts w:ascii="微軟正黑體" w:eastAsia="微軟正黑體" w:hAnsi="Times New Roman" w:cs="微軟正黑體" w:hint="eastAsia"/>
          <w:spacing w:val="-2"/>
          <w:kern w:val="0"/>
          <w:sz w:val="32"/>
          <w:szCs w:val="32"/>
        </w:rPr>
        <w:t>接</w:t>
      </w:r>
      <w:r w:rsidR="00553200" w:rsidRPr="00F77D9E">
        <w:rPr>
          <w:rFonts w:ascii="微軟正黑體" w:eastAsia="微軟正黑體" w:hAnsi="Times New Roman" w:cs="微軟正黑體" w:hint="eastAsia"/>
          <w:kern w:val="0"/>
          <w:sz w:val="32"/>
          <w:szCs w:val="32"/>
        </w:rPr>
        <w:t>受</w:t>
      </w:r>
      <w:r w:rsidR="00EC502B" w:rsidRPr="00F77D9E">
        <w:rPr>
          <w:rFonts w:ascii="微軟正黑體" w:eastAsia="微軟正黑體" w:hAnsi="Times New Roman" w:cs="微軟正黑體" w:hint="eastAsia"/>
          <w:kern w:val="0"/>
          <w:sz w:val="32"/>
          <w:szCs w:val="32"/>
        </w:rPr>
        <w:t>外系生</w:t>
      </w:r>
      <w:r w:rsidR="00553200" w:rsidRPr="00F77D9E">
        <w:rPr>
          <w:rFonts w:ascii="微軟正黑體" w:eastAsia="微軟正黑體" w:hAnsi="Times New Roman" w:cs="微軟正黑體" w:hint="eastAsia"/>
          <w:kern w:val="0"/>
          <w:sz w:val="32"/>
          <w:szCs w:val="32"/>
        </w:rPr>
        <w:t>選讀</w:t>
      </w:r>
    </w:p>
    <w:p w:rsidR="00553200" w:rsidRPr="00F77D9E" w:rsidRDefault="00F77D9E" w:rsidP="00F77D9E">
      <w:pPr>
        <w:autoSpaceDE w:val="0"/>
        <w:autoSpaceDN w:val="0"/>
        <w:adjustRightInd w:val="0"/>
        <w:spacing w:line="357" w:lineRule="exact"/>
        <w:ind w:leftChars="-591" w:left="-20" w:right="-525" w:hangingChars="437" w:hanging="1398"/>
        <w:rPr>
          <w:rFonts w:ascii="微軟正黑體" w:eastAsia="微軟正黑體" w:hAnsi="Times New Roman" w:cs="微軟正黑體"/>
          <w:kern w:val="0"/>
          <w:sz w:val="32"/>
          <w:szCs w:val="32"/>
        </w:rPr>
      </w:pPr>
      <w:r>
        <w:rPr>
          <w:rFonts w:ascii="微軟正黑體" w:eastAsia="微軟正黑體" w:hAnsi="Times New Roman" w:cs="微軟正黑體" w:hint="eastAsia"/>
          <w:kern w:val="0"/>
          <w:sz w:val="32"/>
          <w:szCs w:val="32"/>
        </w:rPr>
        <w:t xml:space="preserve">                           </w:t>
      </w:r>
      <w:r w:rsidR="00EC502B" w:rsidRPr="00F77D9E">
        <w:rPr>
          <w:rFonts w:ascii="微軟正黑體" w:eastAsia="微軟正黑體" w:hAnsi="Times New Roman" w:cs="微軟正黑體" w:hint="eastAsia"/>
          <w:kern w:val="0"/>
          <w:sz w:val="32"/>
          <w:szCs w:val="32"/>
        </w:rPr>
        <w:t>一覽</w:t>
      </w:r>
      <w:r w:rsidR="00553200" w:rsidRPr="00F77D9E">
        <w:rPr>
          <w:rFonts w:ascii="微軟正黑體" w:eastAsia="微軟正黑體" w:hAnsi="Times New Roman" w:cs="微軟正黑體" w:hint="eastAsia"/>
          <w:kern w:val="0"/>
          <w:sz w:val="32"/>
          <w:szCs w:val="32"/>
        </w:rPr>
        <w:t>表</w:t>
      </w:r>
    </w:p>
    <w:p w:rsidR="00704259" w:rsidRPr="00F77D9E" w:rsidRDefault="00704259" w:rsidP="00EC502B">
      <w:pPr>
        <w:autoSpaceDE w:val="0"/>
        <w:autoSpaceDN w:val="0"/>
        <w:adjustRightInd w:val="0"/>
        <w:spacing w:line="357" w:lineRule="exact"/>
        <w:ind w:leftChars="-281" w:left="-100" w:right="-82" w:hangingChars="205" w:hanging="574"/>
        <w:rPr>
          <w:rFonts w:ascii="微軟正黑體" w:eastAsia="微軟正黑體" w:hAnsi="Times New Roman" w:cs="微軟正黑體"/>
          <w:kern w:val="0"/>
          <w:szCs w:val="24"/>
          <w:shd w:val="pct15" w:color="auto" w:fill="FFFFFF"/>
        </w:rPr>
      </w:pPr>
      <w:r>
        <w:rPr>
          <w:rFonts w:ascii="微軟正黑體" w:eastAsia="微軟正黑體" w:hAnsi="Times New Roman" w:cs="微軟正黑體" w:hint="eastAsia"/>
          <w:kern w:val="0"/>
          <w:sz w:val="28"/>
          <w:szCs w:val="28"/>
        </w:rPr>
        <w:t xml:space="preserve">                               </w:t>
      </w:r>
      <w:r w:rsidR="00F77D9E" w:rsidRPr="00F77D9E">
        <w:rPr>
          <w:rFonts w:ascii="微軟正黑體" w:eastAsia="微軟正黑體" w:hAnsi="Times New Roman" w:cs="微軟正黑體" w:hint="eastAsia"/>
          <w:kern w:val="0"/>
          <w:szCs w:val="24"/>
          <w:shd w:val="pct15" w:color="auto" w:fill="FFFFFF"/>
        </w:rPr>
        <w:t>以下學程名稱或學分數有變更時依公告為準</w:t>
      </w:r>
    </w:p>
    <w:p w:rsidR="00553200" w:rsidRDefault="00553200" w:rsidP="00553200">
      <w:pPr>
        <w:autoSpaceDE w:val="0"/>
        <w:autoSpaceDN w:val="0"/>
        <w:adjustRightInd w:val="0"/>
        <w:spacing w:before="3" w:line="160" w:lineRule="exact"/>
        <w:rPr>
          <w:rFonts w:ascii="微軟正黑體" w:eastAsia="微軟正黑體" w:hAnsi="Times New Roman" w:cs="微軟正黑體"/>
          <w:kern w:val="0"/>
          <w:sz w:val="16"/>
          <w:szCs w:val="16"/>
        </w:rPr>
      </w:pPr>
    </w:p>
    <w:tbl>
      <w:tblPr>
        <w:tblW w:w="9450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057"/>
        <w:gridCol w:w="5386"/>
      </w:tblGrid>
      <w:tr w:rsidR="00EC502B" w:rsidTr="00F77D9E">
        <w:trPr>
          <w:gridBefore w:val="1"/>
          <w:wBefore w:w="7" w:type="dxa"/>
          <w:trHeight w:hRule="exact" w:val="590"/>
        </w:trPr>
        <w:tc>
          <w:tcPr>
            <w:tcW w:w="40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24"/>
              <w:ind w:left="22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學系名稱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24"/>
              <w:ind w:left="58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專業選</w:t>
            </w:r>
            <w:r>
              <w:rPr>
                <w:rFonts w:ascii="微軟正黑體" w:eastAsia="微軟正黑體" w:hAnsi="Times New Roman" w:cs="微軟正黑體" w:hint="eastAsia"/>
                <w:spacing w:val="2"/>
                <w:kern w:val="0"/>
                <w:szCs w:val="24"/>
              </w:rPr>
              <w:t>修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學程名稱</w:t>
            </w:r>
            <w:r w:rsidR="00704259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(學分數)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:rsidR="00EC502B" w:rsidRDefault="00EC502B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教育學系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教育學術發展學程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 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教育實務發展學程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 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數理教育學程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     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7" w:line="28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EC502B" w:rsidRDefault="00EC502B" w:rsidP="00EC502B">
            <w:pPr>
              <w:autoSpaceDE w:val="0"/>
              <w:autoSpaceDN w:val="0"/>
              <w:adjustRightInd w:val="0"/>
              <w:spacing w:line="168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特殊教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育學系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特殊教育研究學程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 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認知障礙教學學程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 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情緒行為介入學程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 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資賦優異教育學程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 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C502B" w:rsidRDefault="00EC502B" w:rsidP="00EC502B">
            <w:pPr>
              <w:autoSpaceDE w:val="0"/>
              <w:autoSpaceDN w:val="0"/>
              <w:adjustRightInd w:val="0"/>
              <w:spacing w:line="167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幼兒教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育學系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創意課程與媒材開發學程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關係經營學程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表演與演說學程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83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9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C502B" w:rsidRDefault="00EC502B" w:rsidP="00EC502B">
            <w:pPr>
              <w:autoSpaceDE w:val="0"/>
              <w:autoSpaceDN w:val="0"/>
              <w:adjustRightInd w:val="0"/>
              <w:spacing w:line="168" w:lineRule="auto"/>
              <w:ind w:left="102" w:right="-6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體育與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健</w:t>
            </w: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康休閒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C42D16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樂齡運動指導與養生學程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val="269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02B" w:rsidRDefault="00EC502B" w:rsidP="00C42D16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運動休閒觀光管理學程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(24)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EC502B" w:rsidRDefault="00EC502B" w:rsidP="00EC502B">
            <w:pPr>
              <w:autoSpaceDE w:val="0"/>
              <w:autoSpaceDN w:val="0"/>
              <w:adjustRightInd w:val="0"/>
              <w:spacing w:line="168" w:lineRule="auto"/>
              <w:ind w:left="102" w:right="-6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數位學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習</w:t>
            </w: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設計與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管理學系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數位學習學程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(20)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資訊科技學程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數位設計學程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F77D9E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數位化教育訓練學程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C502B" w:rsidRDefault="00EC502B" w:rsidP="00EC502B">
            <w:pPr>
              <w:autoSpaceDE w:val="0"/>
              <w:autoSpaceDN w:val="0"/>
              <w:adjustRightInd w:val="0"/>
              <w:spacing w:line="168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輔導與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諮商學系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諮商基礎學程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C42D16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家庭與社區輔導學程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C42D16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學校輔導學程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val="309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02B" w:rsidRDefault="00EC502B" w:rsidP="00C42D16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職涯與企業諮商學程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C502B" w:rsidRDefault="00EC502B" w:rsidP="00EC502B">
            <w:pPr>
              <w:autoSpaceDE w:val="0"/>
              <w:autoSpaceDN w:val="0"/>
              <w:adjustRightInd w:val="0"/>
              <w:spacing w:line="168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中國文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經典與義理學程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文學與詞章學程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語文創意與編輯出版學程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7" w:line="18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EC502B" w:rsidRDefault="00EC502B" w:rsidP="00EC502B">
            <w:pPr>
              <w:autoSpaceDE w:val="0"/>
              <w:autoSpaceDN w:val="0"/>
              <w:adjustRightInd w:val="0"/>
              <w:spacing w:line="168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外國語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言學系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文學與翻譯學程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語言與認知學程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外語與商務溝通學程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val="325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02B" w:rsidRDefault="00EC502B" w:rsidP="00C42D16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語言文教發展學程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C502B" w:rsidRDefault="00EC502B" w:rsidP="00EC502B">
            <w:pPr>
              <w:autoSpaceDE w:val="0"/>
              <w:autoSpaceDN w:val="0"/>
              <w:adjustRightInd w:val="0"/>
              <w:spacing w:line="168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應用歷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史學系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應用歷史學程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區域歷史與地理學程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文化資產與觀光學程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C502B" w:rsidRDefault="00EC502B" w:rsidP="00EC502B">
            <w:pPr>
              <w:autoSpaceDE w:val="0"/>
              <w:autoSpaceDN w:val="0"/>
              <w:adjustRightInd w:val="0"/>
              <w:spacing w:line="168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視覺藝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術學系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中西繪畫學程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立體與版畫學程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電腦藝術與設計學程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EC502B" w:rsidRDefault="00EC502B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音樂學系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音樂教學學程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(20)</w:t>
            </w:r>
          </w:p>
        </w:tc>
      </w:tr>
      <w:tr w:rsidR="00EC502B" w:rsidTr="00F77D9E">
        <w:trPr>
          <w:gridBefore w:val="1"/>
          <w:wBefore w:w="7" w:type="dxa"/>
          <w:trHeight w:val="201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02B" w:rsidRDefault="00EC502B" w:rsidP="00C42D16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音樂劇製作學程</w:t>
            </w:r>
            <w:r w:rsidR="00F77D9E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Pr="00F77D9E" w:rsidRDefault="00F77D9E" w:rsidP="00F77D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Cs w:val="24"/>
              </w:rPr>
            </w:pPr>
            <w:r w:rsidRPr="00F77D9E">
              <w:rPr>
                <w:rFonts w:ascii="Times New Roman" w:hAnsi="Times New Roman" w:cs="Times New Roman" w:hint="eastAsia"/>
                <w:kern w:val="0"/>
                <w:szCs w:val="24"/>
              </w:rPr>
              <w:t>生物事業管理學系</w:t>
            </w:r>
          </w:p>
          <w:p w:rsidR="00EC502B" w:rsidRDefault="00EC502B" w:rsidP="00EC502B">
            <w:pPr>
              <w:autoSpaceDE w:val="0"/>
              <w:autoSpaceDN w:val="0"/>
              <w:adjustRightInd w:val="0"/>
              <w:spacing w:line="167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lastRenderedPageBreak/>
              <w:t>生物事業管理學程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科技管理學程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生物事業與科技管理學程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  <w:p w:rsidR="00EC502B" w:rsidRPr="00501D7A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</w:p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167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lastRenderedPageBreak/>
              <w:t>應用經濟學系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研究方法學程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產業管理學程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經濟趨勢分析學程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EC502B">
            <w:pPr>
              <w:autoSpaceDE w:val="0"/>
              <w:autoSpaceDN w:val="0"/>
              <w:adjustRightInd w:val="0"/>
              <w:spacing w:line="295" w:lineRule="exact"/>
              <w:ind w:left="102" w:right="-55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企業管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理學系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管理學術學程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經營實務學程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C502B" w:rsidRDefault="00EC502B" w:rsidP="00EC502B">
            <w:pPr>
              <w:autoSpaceDE w:val="0"/>
              <w:autoSpaceDN w:val="0"/>
              <w:adjustRightInd w:val="0"/>
              <w:spacing w:line="167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資訊管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理學系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管理學程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(15)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資訊技術學程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(15)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電子化企業實務學程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(15)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C502B" w:rsidRDefault="00EC502B" w:rsidP="00EC502B">
            <w:pPr>
              <w:autoSpaceDE w:val="0"/>
              <w:autoSpaceDN w:val="0"/>
              <w:adjustRightInd w:val="0"/>
              <w:spacing w:line="167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財務金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融學系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資產管理學程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金融機構學程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金融實務學程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EC502B" w:rsidRDefault="00EC502B" w:rsidP="00EC502B">
            <w:pPr>
              <w:autoSpaceDE w:val="0"/>
              <w:autoSpaceDN w:val="0"/>
              <w:adjustRightInd w:val="0"/>
              <w:spacing w:line="168" w:lineRule="auto"/>
              <w:ind w:left="102" w:right="-6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行銷與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觀</w:t>
            </w: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光管理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學術型行銷學程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(21)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學術型觀光學程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實務型行銷學程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(12)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實務型觀光學程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(15)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:rsidR="00EC502B" w:rsidRDefault="00EC502B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農藝學系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作物科技學程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作物產業學程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作物環境學程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:rsidR="00EC502B" w:rsidRDefault="00EC502B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園藝學系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園藝科學學程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環境園藝學程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園藝產業學程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C502B" w:rsidRDefault="00EC502B" w:rsidP="00704259">
            <w:pPr>
              <w:autoSpaceDE w:val="0"/>
              <w:autoSpaceDN w:val="0"/>
              <w:adjustRightInd w:val="0"/>
              <w:spacing w:line="168" w:lineRule="auto"/>
              <w:ind w:left="102" w:right="-6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木質材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料</w:t>
            </w: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與設計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木質資源學程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(20)</w:t>
            </w:r>
          </w:p>
        </w:tc>
      </w:tr>
      <w:tr w:rsidR="00EC502B" w:rsidTr="00F77D9E">
        <w:trPr>
          <w:gridBefore w:val="1"/>
          <w:wBefore w:w="7" w:type="dxa"/>
          <w:trHeight w:hRule="exact" w:val="521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設計與製造實務學程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(19)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:rsidR="00EC502B" w:rsidRDefault="00EC502B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獸醫學系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獸醫學術學程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(10)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獸醫臨床學程</w:t>
            </w:r>
            <w:r>
              <w:rPr>
                <w:rFonts w:ascii="Times New Roman" w:eastAsia="微軟正黑體" w:hAnsi="Times New Roman" w:cs="Times New Roman"/>
                <w:spacing w:val="-1"/>
                <w:kern w:val="0"/>
                <w:szCs w:val="24"/>
              </w:rPr>
              <w:t>(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一</w:t>
            </w:r>
            <w:r>
              <w:rPr>
                <w:rFonts w:ascii="Times New Roman" w:eastAsia="微軟正黑體" w:hAnsi="Times New Roman" w:cs="Times New Roman"/>
                <w:kern w:val="0"/>
                <w:szCs w:val="24"/>
              </w:rPr>
              <w:t>)</w:t>
            </w:r>
            <w:r w:rsidR="00501D7A">
              <w:rPr>
                <w:rFonts w:ascii="Times New Roman" w:eastAsia="微軟正黑體" w:hAnsi="Times New Roman" w:cs="Times New Roman" w:hint="eastAsia"/>
                <w:kern w:val="0"/>
                <w:szCs w:val="24"/>
              </w:rPr>
              <w:t>(10)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獸醫臨床學程</w:t>
            </w:r>
            <w:r>
              <w:rPr>
                <w:rFonts w:ascii="Times New Roman" w:eastAsia="微軟正黑體" w:hAnsi="Times New Roman" w:cs="Times New Roman"/>
                <w:spacing w:val="-1"/>
                <w:kern w:val="0"/>
                <w:szCs w:val="24"/>
              </w:rPr>
              <w:t>(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二</w:t>
            </w:r>
            <w:r>
              <w:rPr>
                <w:rFonts w:ascii="Times New Roman" w:eastAsia="微軟正黑體" w:hAnsi="Times New Roman" w:cs="Times New Roman"/>
                <w:kern w:val="0"/>
                <w:szCs w:val="24"/>
              </w:rPr>
              <w:t>)</w:t>
            </w:r>
            <w:r w:rsidR="00501D7A">
              <w:rPr>
                <w:rFonts w:ascii="Times New Roman" w:eastAsia="微軟正黑體" w:hAnsi="Times New Roman" w:cs="Times New Roman" w:hint="eastAsia"/>
                <w:kern w:val="0"/>
                <w:szCs w:val="24"/>
              </w:rPr>
              <w:t>(10)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C502B" w:rsidRDefault="00EC502B" w:rsidP="00704259">
            <w:pPr>
              <w:autoSpaceDE w:val="0"/>
              <w:autoSpaceDN w:val="0"/>
              <w:adjustRightInd w:val="0"/>
              <w:spacing w:line="168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生物農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業科技學系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501D7A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作物生產技術學程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(22)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動物生產技術學程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(22)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生技產業學程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(20)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EC502B" w:rsidRDefault="00EC502B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景觀學系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景觀規劃學程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景觀設計學程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永續景觀與工程學程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景觀專題學程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:rsidR="00EC502B" w:rsidRDefault="00EC502B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植醫學系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植物病害管理學程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(19)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501D7A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有害生物管理學程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(19)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農業藥劑合理化應用學程</w:t>
            </w:r>
            <w:r w:rsidR="00501D7A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(19)</w:t>
            </w:r>
          </w:p>
        </w:tc>
      </w:tr>
      <w:tr w:rsidR="00234CFF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234CFF" w:rsidRDefault="00234CFF" w:rsidP="00704259">
            <w:pPr>
              <w:autoSpaceDE w:val="0"/>
              <w:autoSpaceDN w:val="0"/>
              <w:adjustRightInd w:val="0"/>
              <w:spacing w:line="288" w:lineRule="exact"/>
              <w:ind w:left="102" w:right="-55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森林暨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自</w:t>
            </w: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然資源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FF" w:rsidRDefault="00234CFF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森林學學程(16)</w:t>
            </w:r>
          </w:p>
        </w:tc>
      </w:tr>
      <w:tr w:rsidR="00234CFF" w:rsidTr="00F94C8A">
        <w:trPr>
          <w:gridBefore w:val="1"/>
          <w:wBefore w:w="7" w:type="dxa"/>
          <w:trHeight w:hRule="exact" w:val="590"/>
        </w:trPr>
        <w:tc>
          <w:tcPr>
            <w:tcW w:w="4057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234CFF" w:rsidRDefault="00234CFF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FF" w:rsidRDefault="00234CFF">
            <w:pPr>
              <w:autoSpaceDE w:val="0"/>
              <w:autoSpaceDN w:val="0"/>
              <w:adjustRightInd w:val="0"/>
              <w:spacing w:before="21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森林生物學程(16)</w:t>
            </w:r>
          </w:p>
        </w:tc>
      </w:tr>
      <w:tr w:rsidR="00234CFF" w:rsidTr="00F94C8A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34CFF" w:rsidRDefault="00234CFF" w:rsidP="00704259">
            <w:pPr>
              <w:autoSpaceDE w:val="0"/>
              <w:autoSpaceDN w:val="0"/>
              <w:adjustRightInd w:val="0"/>
              <w:spacing w:line="295" w:lineRule="exact"/>
              <w:ind w:left="102" w:right="-55"/>
              <w:rPr>
                <w:rFonts w:ascii="微軟正黑體" w:eastAsia="微軟正黑體" w:hAnsi="Times New Roman" w:cs="微軟正黑體"/>
                <w:spacing w:val="19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FF" w:rsidRDefault="00234CFF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森林經營學程(16)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704259">
            <w:pPr>
              <w:autoSpaceDE w:val="0"/>
              <w:autoSpaceDN w:val="0"/>
              <w:adjustRightInd w:val="0"/>
              <w:spacing w:line="295" w:lineRule="exact"/>
              <w:ind w:left="102" w:right="-55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動物科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動物生產學程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動物應用學程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Pr="00D326B1" w:rsidRDefault="00D326B1" w:rsidP="00D326B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Cs w:val="24"/>
              </w:rPr>
            </w:pPr>
            <w:r w:rsidRPr="00D326B1">
              <w:rPr>
                <w:rFonts w:ascii="Times New Roman" w:hAnsi="Times New Roman" w:cs="Times New Roman" w:hint="eastAsia"/>
                <w:kern w:val="0"/>
                <w:szCs w:val="24"/>
              </w:rPr>
              <w:t>應用數學系</w:t>
            </w:r>
          </w:p>
          <w:p w:rsidR="00EC502B" w:rsidRDefault="00EC502B" w:rsidP="00704259">
            <w:pPr>
              <w:autoSpaceDE w:val="0"/>
              <w:autoSpaceDN w:val="0"/>
              <w:adjustRightInd w:val="0"/>
              <w:spacing w:line="168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lastRenderedPageBreak/>
              <w:t>計算科學學程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機率統計科學學程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資訊分析學程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704259">
            <w:pPr>
              <w:autoSpaceDE w:val="0"/>
              <w:autoSpaceDN w:val="0"/>
              <w:adjustRightInd w:val="0"/>
              <w:spacing w:line="295" w:lineRule="exact"/>
              <w:ind w:left="102" w:right="-55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lastRenderedPageBreak/>
              <w:t>電子物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理學系</w:t>
            </w:r>
          </w:p>
          <w:p w:rsidR="00704259" w:rsidRDefault="00704259" w:rsidP="00704259">
            <w:pPr>
              <w:autoSpaceDE w:val="0"/>
              <w:autoSpaceDN w:val="0"/>
              <w:adjustRightInd w:val="0"/>
              <w:spacing w:line="295" w:lineRule="exact"/>
              <w:ind w:left="102" w:right="-55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光電科學領域技術學程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半導體電子領域技術學程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436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704259" w:rsidP="00704259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應用化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學系</w:t>
            </w:r>
          </w:p>
          <w:p w:rsidR="00EC502B" w:rsidRDefault="00EC502B" w:rsidP="00704259">
            <w:pPr>
              <w:autoSpaceDE w:val="0"/>
              <w:autoSpaceDN w:val="0"/>
              <w:adjustRightInd w:val="0"/>
              <w:spacing w:line="400" w:lineRule="exact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704259">
            <w:pPr>
              <w:autoSpaceDE w:val="0"/>
              <w:autoSpaceDN w:val="0"/>
              <w:adjustRightInd w:val="0"/>
              <w:spacing w:line="40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化學生物及分析學術學程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(23)</w:t>
            </w:r>
          </w:p>
        </w:tc>
      </w:tr>
      <w:tr w:rsidR="00EC502B" w:rsidTr="00F77D9E">
        <w:trPr>
          <w:gridBefore w:val="1"/>
          <w:wBefore w:w="7" w:type="dxa"/>
          <w:trHeight w:hRule="exact" w:val="59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704259">
            <w:pPr>
              <w:autoSpaceDE w:val="0"/>
              <w:autoSpaceDN w:val="0"/>
              <w:adjustRightInd w:val="0"/>
              <w:spacing w:line="29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24"/>
                <w:kern w:val="0"/>
                <w:szCs w:val="24"/>
              </w:rPr>
              <w:t>合成化學及材料化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</w:t>
            </w:r>
            <w:r>
              <w:rPr>
                <w:rFonts w:ascii="微軟正黑體" w:eastAsia="微軟正黑體" w:hAnsi="Times New Roman" w:cs="微軟正黑體"/>
                <w:spacing w:val="-38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spacing w:val="24"/>
                <w:kern w:val="0"/>
                <w:szCs w:val="24"/>
              </w:rPr>
              <w:t>學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術</w:t>
            </w:r>
            <w:r>
              <w:rPr>
                <w:rFonts w:ascii="微軟正黑體" w:eastAsia="微軟正黑體" w:hAnsi="Times New Roman" w:cs="微軟正黑體"/>
                <w:spacing w:val="-36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(23)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化學生物及分析實務學程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(23)</w:t>
            </w:r>
          </w:p>
        </w:tc>
      </w:tr>
      <w:tr w:rsidR="00EC502B" w:rsidTr="00F77D9E">
        <w:trPr>
          <w:gridBefore w:val="1"/>
          <w:wBefore w:w="7" w:type="dxa"/>
          <w:trHeight w:hRule="exact" w:val="392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704259">
            <w:pPr>
              <w:autoSpaceDE w:val="0"/>
              <w:autoSpaceDN w:val="0"/>
              <w:adjustRightInd w:val="0"/>
              <w:spacing w:line="29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24"/>
                <w:kern w:val="0"/>
                <w:szCs w:val="24"/>
              </w:rPr>
              <w:t>合成化學及材料化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</w:t>
            </w:r>
            <w:r>
              <w:rPr>
                <w:rFonts w:ascii="微軟正黑體" w:eastAsia="微軟正黑體" w:hAnsi="Times New Roman" w:cs="微軟正黑體"/>
                <w:spacing w:val="-38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spacing w:val="24"/>
                <w:kern w:val="0"/>
                <w:szCs w:val="24"/>
              </w:rPr>
              <w:t>實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務</w:t>
            </w:r>
            <w:r>
              <w:rPr>
                <w:rFonts w:ascii="微軟正黑體" w:eastAsia="微軟正黑體" w:hAnsi="Times New Roman" w:cs="微軟正黑體"/>
                <w:spacing w:val="-36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(23)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C502B" w:rsidRDefault="00EC502B" w:rsidP="00704259">
            <w:pPr>
              <w:autoSpaceDE w:val="0"/>
              <w:autoSpaceDN w:val="0"/>
              <w:adjustRightInd w:val="0"/>
              <w:spacing w:line="168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生物機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電工程學系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機械專業學程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電控專業學程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生物機電實務學程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704259">
            <w:pPr>
              <w:autoSpaceDE w:val="0"/>
              <w:autoSpaceDN w:val="0"/>
              <w:adjustRightInd w:val="0"/>
              <w:spacing w:line="293" w:lineRule="exact"/>
              <w:ind w:left="102" w:right="-55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土木與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水</w:t>
            </w: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資源工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程學系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工程進階學程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hRule="exact" w:val="581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19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工程應用學程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(24)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7" w:line="28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EC502B" w:rsidRDefault="00EC502B" w:rsidP="00704259">
            <w:pPr>
              <w:autoSpaceDE w:val="0"/>
              <w:autoSpaceDN w:val="0"/>
              <w:adjustRightInd w:val="0"/>
              <w:spacing w:line="168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資訊工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程學系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軟體工程及知識工程學程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互動多媒體學程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網路及資訊安全學程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資訊系統開發實務學程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C502B" w:rsidRDefault="00EC502B" w:rsidP="00704259">
            <w:pPr>
              <w:autoSpaceDE w:val="0"/>
              <w:autoSpaceDN w:val="0"/>
              <w:adjustRightInd w:val="0"/>
              <w:spacing w:line="168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電機工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程學系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計算機與控制系統學程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通訊與訊號處理學程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電子與系統設計學程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704259">
            <w:pPr>
              <w:autoSpaceDE w:val="0"/>
              <w:autoSpaceDN w:val="0"/>
              <w:adjustRightInd w:val="0"/>
              <w:spacing w:line="300" w:lineRule="exact"/>
              <w:ind w:left="102" w:right="-55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機械與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能</w:t>
            </w: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源工程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機械工程學系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節能工程學程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機械與能源學程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(18)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C502B" w:rsidRDefault="00EC502B" w:rsidP="00704259">
            <w:pPr>
              <w:autoSpaceDE w:val="0"/>
              <w:autoSpaceDN w:val="0"/>
              <w:adjustRightInd w:val="0"/>
              <w:spacing w:line="168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食品科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營養與保健食品學程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食品化學與分析學程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59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704259">
            <w:pPr>
              <w:autoSpaceDE w:val="0"/>
              <w:autoSpaceDN w:val="0"/>
              <w:adjustRightInd w:val="0"/>
              <w:spacing w:line="29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24"/>
                <w:kern w:val="0"/>
                <w:szCs w:val="24"/>
              </w:rPr>
              <w:t>食品微生物與生物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技</w:t>
            </w:r>
            <w:r>
              <w:rPr>
                <w:rFonts w:ascii="微軟正黑體" w:eastAsia="微軟正黑體" w:hAnsi="Times New Roman" w:cs="微軟正黑體"/>
                <w:spacing w:val="-38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spacing w:val="24"/>
                <w:kern w:val="0"/>
                <w:szCs w:val="24"/>
              </w:rPr>
              <w:t>術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</w:t>
            </w:r>
            <w:r>
              <w:rPr>
                <w:rFonts w:ascii="微軟正黑體" w:eastAsia="微軟正黑體" w:hAnsi="Times New Roman" w:cs="微軟正黑體"/>
                <w:spacing w:val="-36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食品加工與食品工程學程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C502B" w:rsidRDefault="00EC502B">
            <w:pPr>
              <w:autoSpaceDE w:val="0"/>
              <w:autoSpaceDN w:val="0"/>
              <w:adjustRightInd w:val="0"/>
              <w:spacing w:line="167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生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物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資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源</w:t>
            </w:r>
            <w:r>
              <w:rPr>
                <w:rFonts w:ascii="微軟正黑體" w:eastAsia="微軟正黑體" w:hAnsi="Times New Roman" w:cs="微軟正黑體"/>
                <w:spacing w:val="19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生物多樣性學程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(17)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生物資源經營管理學程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(17)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環境教育與生態產業學程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(17)</w:t>
            </w:r>
          </w:p>
        </w:tc>
      </w:tr>
      <w:tr w:rsidR="00EC502B" w:rsidTr="00F77D9E">
        <w:trPr>
          <w:gridBefore w:val="1"/>
          <w:wBefore w:w="7" w:type="dxa"/>
          <w:trHeight w:hRule="exact" w:val="300"/>
        </w:trPr>
        <w:tc>
          <w:tcPr>
            <w:tcW w:w="40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C502B" w:rsidRDefault="00EC502B" w:rsidP="00704259">
            <w:pPr>
              <w:autoSpaceDE w:val="0"/>
              <w:autoSpaceDN w:val="0"/>
              <w:adjustRightInd w:val="0"/>
              <w:spacing w:line="168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水生生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物科學系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D326B1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水生生物科技學程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(17)</w:t>
            </w:r>
          </w:p>
        </w:tc>
      </w:tr>
      <w:tr w:rsidR="00EC502B" w:rsidTr="00F77D9E">
        <w:trPr>
          <w:gridBefore w:val="1"/>
          <w:wBefore w:w="7" w:type="dxa"/>
          <w:trHeight w:hRule="exact" w:val="1159"/>
        </w:trPr>
        <w:tc>
          <w:tcPr>
            <w:tcW w:w="405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1" w:lineRule="exact"/>
              <w:ind w:left="102" w:right="56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EC502B" w:rsidRDefault="00EC502B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水產養殖學程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(17)</w:t>
            </w:r>
          </w:p>
        </w:tc>
      </w:tr>
      <w:tr w:rsidR="00EC502B" w:rsidTr="00F77D9E">
        <w:trPr>
          <w:trHeight w:hRule="exact" w:val="300"/>
        </w:trPr>
        <w:tc>
          <w:tcPr>
            <w:tcW w:w="406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EC502B" w:rsidRDefault="00EC502B" w:rsidP="00704259">
            <w:pPr>
              <w:autoSpaceDE w:val="0"/>
              <w:autoSpaceDN w:val="0"/>
              <w:adjustRightInd w:val="0"/>
              <w:spacing w:line="167" w:lineRule="auto"/>
              <w:ind w:left="102" w:right="-6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生化科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技學系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生化技術學程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trHeight w:hRule="exact" w:val="300"/>
        </w:trPr>
        <w:tc>
          <w:tcPr>
            <w:tcW w:w="4064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醫學生化學程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trHeight w:hRule="exact" w:val="300"/>
        </w:trPr>
        <w:tc>
          <w:tcPr>
            <w:tcW w:w="4064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產業實習與應用學程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trHeight w:hRule="exact" w:val="300"/>
        </w:trPr>
        <w:tc>
          <w:tcPr>
            <w:tcW w:w="406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 w:rsidP="00704259">
            <w:pPr>
              <w:autoSpaceDE w:val="0"/>
              <w:autoSpaceDN w:val="0"/>
              <w:adjustRightInd w:val="0"/>
              <w:spacing w:line="300" w:lineRule="exact"/>
              <w:ind w:left="102" w:right="-55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微生物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免</w:t>
            </w:r>
            <w:r>
              <w:rPr>
                <w:rFonts w:ascii="微軟正黑體" w:eastAsia="微軟正黑體" w:hAnsi="Times New Roman" w:cs="微軟正黑體" w:hint="eastAsia"/>
                <w:spacing w:val="19"/>
                <w:kern w:val="0"/>
                <w:szCs w:val="24"/>
              </w:rPr>
              <w:t>疫與生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物藥學系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微生物免疫學程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trHeight w:hRule="exact" w:val="300"/>
        </w:trPr>
        <w:tc>
          <w:tcPr>
            <w:tcW w:w="4064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生物醫藥學程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  <w:tr w:rsidR="00EC502B" w:rsidTr="00F77D9E">
        <w:trPr>
          <w:trHeight w:hRule="exact" w:val="300"/>
        </w:trPr>
        <w:tc>
          <w:tcPr>
            <w:tcW w:w="4064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2B" w:rsidRDefault="00EC502B">
            <w:pPr>
              <w:autoSpaceDE w:val="0"/>
              <w:autoSpaceDN w:val="0"/>
              <w:adjustRightInd w:val="0"/>
              <w:spacing w:line="288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生技醫藥產業學程</w:t>
            </w:r>
            <w:r w:rsidR="00D326B1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(16)</w:t>
            </w:r>
          </w:p>
        </w:tc>
      </w:tr>
    </w:tbl>
    <w:p w:rsidR="00451D45" w:rsidRDefault="00451D45"/>
    <w:sectPr w:rsidR="00451D45" w:rsidSect="00F77D9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00"/>
    <w:rsid w:val="00234CFF"/>
    <w:rsid w:val="00451D45"/>
    <w:rsid w:val="00501D7A"/>
    <w:rsid w:val="00553200"/>
    <w:rsid w:val="00704259"/>
    <w:rsid w:val="0095449F"/>
    <w:rsid w:val="00D326B1"/>
    <w:rsid w:val="00EC502B"/>
    <w:rsid w:val="00F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dcterms:created xsi:type="dcterms:W3CDTF">2015-09-03T07:58:00Z</dcterms:created>
  <dcterms:modified xsi:type="dcterms:W3CDTF">2015-09-03T07:58:00Z</dcterms:modified>
</cp:coreProperties>
</file>