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4C" w:rsidRDefault="008459D2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4"/>
        </w:rPr>
        <w:t>國立嘉義大學</w:t>
      </w:r>
      <w:r>
        <w:rPr>
          <w:rFonts w:ascii="標楷體" w:eastAsia="標楷體" w:hAnsi="標楷體"/>
          <w:b/>
          <w:bCs/>
          <w:sz w:val="44"/>
          <w:u w:val="single"/>
        </w:rPr>
        <w:t>必</w:t>
      </w:r>
      <w:r>
        <w:rPr>
          <w:rFonts w:ascii="標楷體" w:eastAsia="標楷體" w:hAnsi="標楷體"/>
          <w:b/>
          <w:bCs/>
          <w:sz w:val="44"/>
          <w:u w:val="single"/>
        </w:rPr>
        <w:t>(</w:t>
      </w:r>
      <w:r>
        <w:rPr>
          <w:rFonts w:ascii="標楷體" w:eastAsia="標楷體" w:hAnsi="標楷體"/>
          <w:b/>
          <w:bCs/>
          <w:sz w:val="44"/>
          <w:u w:val="single"/>
        </w:rPr>
        <w:t>選</w:t>
      </w:r>
      <w:r>
        <w:rPr>
          <w:rFonts w:ascii="標楷體" w:eastAsia="標楷體" w:hAnsi="標楷體"/>
          <w:b/>
          <w:bCs/>
          <w:sz w:val="44"/>
          <w:u w:val="single"/>
        </w:rPr>
        <w:t>)</w:t>
      </w:r>
      <w:r>
        <w:rPr>
          <w:rFonts w:ascii="標楷體" w:eastAsia="標楷體" w:hAnsi="標楷體"/>
          <w:b/>
          <w:bCs/>
          <w:sz w:val="44"/>
          <w:u w:val="single"/>
        </w:rPr>
        <w:t>修課程</w:t>
      </w:r>
      <w:r>
        <w:rPr>
          <w:rFonts w:ascii="標楷體" w:eastAsia="標楷體" w:hAnsi="標楷體"/>
          <w:b/>
          <w:bCs/>
          <w:sz w:val="44"/>
        </w:rPr>
        <w:t>抵修申請表（重、補修及轉系生適用）</w:t>
      </w:r>
    </w:p>
    <w:tbl>
      <w:tblPr>
        <w:tblW w:w="15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865"/>
        <w:gridCol w:w="1070"/>
        <w:gridCol w:w="1317"/>
        <w:gridCol w:w="1091"/>
        <w:gridCol w:w="3083"/>
        <w:gridCol w:w="1601"/>
        <w:gridCol w:w="46"/>
        <w:gridCol w:w="571"/>
        <w:gridCol w:w="9"/>
        <w:gridCol w:w="456"/>
        <w:gridCol w:w="510"/>
        <w:gridCol w:w="456"/>
        <w:gridCol w:w="510"/>
        <w:gridCol w:w="314"/>
        <w:gridCol w:w="77"/>
        <w:gridCol w:w="65"/>
      </w:tblGrid>
      <w:tr w:rsidR="003E6E4C">
        <w:tblPrEx>
          <w:tblCellMar>
            <w:top w:w="0" w:type="dxa"/>
            <w:bottom w:w="0" w:type="dxa"/>
          </w:tblCellMar>
        </w:tblPrEx>
        <w:tc>
          <w:tcPr>
            <w:tcW w:w="732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E4C" w:rsidRDefault="008459D2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eastAsia="標楷體"/>
                <w:b/>
                <w:sz w:val="28"/>
              </w:rPr>
              <w:t>日間學制</w:t>
            </w: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eastAsia="標楷體"/>
                <w:b/>
                <w:sz w:val="28"/>
              </w:rPr>
              <w:t>進修學制</w:t>
            </w:r>
            <w:r>
              <w:rPr>
                <w:rFonts w:eastAsia="標楷體"/>
                <w:b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eastAsia="標楷體"/>
              </w:rPr>
              <w:t>學士</w:t>
            </w: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學制系別年級：</w:t>
            </w:r>
          </w:p>
        </w:tc>
        <w:tc>
          <w:tcPr>
            <w:tcW w:w="30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center"/>
              <w:rPr>
                <w:rFonts w:eastAsia="標楷體" w:cs="Wingdings 2"/>
                <w:b/>
                <w:sz w:val="28"/>
              </w:rPr>
            </w:pPr>
          </w:p>
        </w:tc>
        <w:tc>
          <w:tcPr>
            <w:tcW w:w="16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學系（所）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center"/>
              <w:rPr>
                <w:rFonts w:eastAsia="標楷體" w:cs="Wingdings 2"/>
                <w:b/>
                <w:sz w:val="28"/>
              </w:rPr>
            </w:pPr>
          </w:p>
        </w:tc>
        <w:tc>
          <w:tcPr>
            <w:tcW w:w="225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年級</w:t>
            </w:r>
          </w:p>
        </w:tc>
        <w:tc>
          <w:tcPr>
            <w:tcW w:w="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E4C" w:rsidRDefault="003E6E4C">
            <w:pPr>
              <w:spacing w:line="320" w:lineRule="exact"/>
              <w:jc w:val="both"/>
            </w:pPr>
          </w:p>
        </w:tc>
        <w:tc>
          <w:tcPr>
            <w:tcW w:w="6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E4C" w:rsidRDefault="003E6E4C">
            <w:pPr>
              <w:spacing w:line="320" w:lineRule="exact"/>
              <w:jc w:val="both"/>
            </w:pPr>
          </w:p>
        </w:tc>
      </w:tr>
      <w:tr w:rsidR="003E6E4C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申請人姓名：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both"/>
              <w:rPr>
                <w:rFonts w:eastAsia="標楷體" w:cs="Wingdings 2"/>
                <w:b/>
                <w:sz w:val="28"/>
              </w:rPr>
            </w:pP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學號：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both"/>
              <w:rPr>
                <w:rFonts w:eastAsia="標楷體" w:cs="Wingdings 2"/>
                <w:b/>
                <w:sz w:val="28"/>
              </w:rPr>
            </w:pPr>
          </w:p>
        </w:tc>
        <w:tc>
          <w:tcPr>
            <w:tcW w:w="1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center"/>
            </w:pPr>
            <w:r>
              <w:rPr>
                <w:rFonts w:eastAsia="標楷體"/>
                <w:sz w:val="28"/>
              </w:rPr>
              <w:t>手機：</w:t>
            </w:r>
          </w:p>
        </w:tc>
        <w:tc>
          <w:tcPr>
            <w:tcW w:w="308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</w:pPr>
            <w:r>
              <w:rPr>
                <w:rFonts w:eastAsia="標楷體"/>
              </w:rPr>
              <w:t>申請日期：</w:t>
            </w:r>
          </w:p>
        </w:tc>
        <w:tc>
          <w:tcPr>
            <w:tcW w:w="62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  <w:rPr>
                <w:rFonts w:eastAsia="標楷體" w:cs="Wingdings 2"/>
              </w:rPr>
            </w:pPr>
            <w:r>
              <w:rPr>
                <w:rFonts w:eastAsia="標楷體" w:cs="Wingdings 2"/>
              </w:rPr>
              <w:t>年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  <w:rPr>
                <w:rFonts w:eastAsia="標楷體" w:cs="Wingdings 2"/>
              </w:rPr>
            </w:pPr>
            <w:r>
              <w:rPr>
                <w:rFonts w:eastAsia="標楷體" w:cs="Wingdings 2"/>
              </w:rPr>
              <w:t>月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3E6E4C">
            <w:pPr>
              <w:spacing w:line="320" w:lineRule="exact"/>
              <w:jc w:val="center"/>
              <w:rPr>
                <w:rFonts w:eastAsia="標楷體" w:cs="Wingdings 2"/>
                <w:sz w:val="28"/>
              </w:rPr>
            </w:pPr>
          </w:p>
        </w:tc>
        <w:tc>
          <w:tcPr>
            <w:tcW w:w="4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E4C" w:rsidRDefault="008459D2">
            <w:pPr>
              <w:spacing w:line="320" w:lineRule="exact"/>
              <w:jc w:val="both"/>
              <w:rPr>
                <w:rFonts w:eastAsia="標楷體" w:cs="Wingdings 2"/>
              </w:rPr>
            </w:pPr>
            <w:r>
              <w:rPr>
                <w:rFonts w:eastAsia="標楷體" w:cs="Wingdings 2"/>
              </w:rPr>
              <w:t>日</w:t>
            </w:r>
          </w:p>
        </w:tc>
      </w:tr>
    </w:tbl>
    <w:p w:rsidR="003E6E4C" w:rsidRDefault="003E6E4C">
      <w:pPr>
        <w:spacing w:line="0" w:lineRule="atLeast"/>
        <w:jc w:val="both"/>
        <w:rPr>
          <w:rFonts w:ascii="標楷體" w:eastAsia="標楷體" w:hAnsi="標楷體"/>
        </w:rPr>
      </w:pPr>
    </w:p>
    <w:tbl>
      <w:tblPr>
        <w:tblW w:w="155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873"/>
        <w:gridCol w:w="720"/>
        <w:gridCol w:w="540"/>
        <w:gridCol w:w="587"/>
        <w:gridCol w:w="1816"/>
        <w:gridCol w:w="2693"/>
        <w:gridCol w:w="600"/>
        <w:gridCol w:w="251"/>
        <w:gridCol w:w="709"/>
        <w:gridCol w:w="544"/>
        <w:gridCol w:w="1500"/>
        <w:gridCol w:w="2350"/>
      </w:tblGrid>
      <w:tr w:rsidR="003E6E4C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452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應修科目</w:t>
            </w:r>
          </w:p>
        </w:tc>
        <w:tc>
          <w:tcPr>
            <w:tcW w:w="7200" w:type="dxa"/>
            <w:gridSpan w:val="7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擬作為抵修科目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pacing w:val="-20"/>
                <w:sz w:val="28"/>
              </w:rPr>
              <w:t>抵修原因</w:t>
            </w:r>
          </w:p>
        </w:tc>
        <w:tc>
          <w:tcPr>
            <w:tcW w:w="235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系所或通識中心審核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【請參附註</w:t>
            </w:r>
            <w:r>
              <w:rPr>
                <w:rFonts w:ascii="標楷體" w:eastAsia="標楷體" w:hAnsi="標楷體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、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】</w:t>
            </w:r>
          </w:p>
          <w:p w:rsidR="003E6E4C" w:rsidRDefault="008459D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系所核章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)</w:t>
            </w: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cantSplit/>
          <w:trHeight w:val="892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科目名稱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（須填全名）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必選修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通識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學分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學制、系別、年級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科目名稱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（須填全名）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必選修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通識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學期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學分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8459D2">
            <w:pPr>
              <w:spacing w:line="0" w:lineRule="atLeast"/>
              <w:ind w:firstLine="12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/>
                <w:b/>
                <w:bCs/>
              </w:rPr>
              <w:t>重修</w:t>
            </w:r>
          </w:p>
          <w:p w:rsidR="003E6E4C" w:rsidRDefault="008459D2">
            <w:pPr>
              <w:spacing w:line="0" w:lineRule="atLeast"/>
              <w:ind w:firstLine="12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/>
                <w:b/>
                <w:bCs/>
              </w:rPr>
              <w:t>補修</w:t>
            </w:r>
          </w:p>
          <w:p w:rsidR="003E6E4C" w:rsidRDefault="008459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3.</w:t>
            </w:r>
            <w:r>
              <w:rPr>
                <w:rFonts w:ascii="標楷體" w:eastAsia="標楷體" w:hAnsi="標楷體"/>
                <w:b/>
                <w:bCs/>
              </w:rPr>
              <w:t>課程變更</w:t>
            </w:r>
          </w:p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4.</w:t>
            </w:r>
            <w:r>
              <w:rPr>
                <w:rFonts w:ascii="標楷體" w:eastAsia="標楷體" w:hAnsi="標楷體"/>
                <w:b/>
                <w:bCs/>
              </w:rPr>
              <w:t>轉系生</w:t>
            </w:r>
          </w:p>
        </w:tc>
        <w:tc>
          <w:tcPr>
            <w:tcW w:w="2350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3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</w:pPr>
          </w:p>
        </w:tc>
        <w:tc>
          <w:tcPr>
            <w:tcW w:w="8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同意</w:t>
            </w:r>
          </w:p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不同意</w:t>
            </w: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同意</w:t>
            </w:r>
          </w:p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不同意</w:t>
            </w: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8459D2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同意</w:t>
            </w:r>
          </w:p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不同意</w:t>
            </w: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同意</w:t>
            </w:r>
          </w:p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不同意</w:t>
            </w: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同意</w:t>
            </w:r>
          </w:p>
          <w:p w:rsidR="003E6E4C" w:rsidRDefault="008459D2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□</w:t>
            </w:r>
            <w:r>
              <w:rPr>
                <w:rFonts w:ascii="標楷體" w:eastAsia="標楷體" w:hAnsi="標楷體"/>
                <w:b/>
                <w:bCs/>
              </w:rPr>
              <w:t>不同意</w:t>
            </w: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51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教務處各校區承辦人</w:t>
            </w:r>
          </w:p>
        </w:tc>
        <w:tc>
          <w:tcPr>
            <w:tcW w:w="51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組長核章</w:t>
            </w:r>
          </w:p>
        </w:tc>
        <w:tc>
          <w:tcPr>
            <w:tcW w:w="5354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6E4C" w:rsidRDefault="008459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教務長核章</w:t>
            </w:r>
          </w:p>
        </w:tc>
      </w:tr>
      <w:tr w:rsidR="003E6E4C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511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09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54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6E4C" w:rsidRDefault="003E6E4C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E6E4C" w:rsidRDefault="008459D2">
      <w:pPr>
        <w:spacing w:line="160" w:lineRule="atLeast"/>
        <w:ind w:left="1021" w:hanging="1040"/>
        <w:jc w:val="both"/>
      </w:pPr>
      <w:r>
        <w:rPr>
          <w:rFonts w:eastAsia="標楷體"/>
          <w:sz w:val="22"/>
          <w:szCs w:val="22"/>
        </w:rPr>
        <w:t>附註：</w:t>
      </w:r>
      <w:r>
        <w:rPr>
          <w:rFonts w:eastAsia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1</w:t>
      </w:r>
      <w:r>
        <w:rPr>
          <w:rFonts w:ascii="標楷體" w:eastAsia="標楷體" w:hAnsi="標楷體"/>
          <w:sz w:val="22"/>
          <w:szCs w:val="22"/>
        </w:rPr>
        <w:t>、各系所</w:t>
      </w:r>
      <w:r>
        <w:rPr>
          <w:rFonts w:eastAsia="標楷體"/>
          <w:sz w:val="22"/>
          <w:szCs w:val="22"/>
        </w:rPr>
        <w:t>專業科目，請由學生所屬各系所審核。</w:t>
      </w:r>
    </w:p>
    <w:p w:rsidR="003E6E4C" w:rsidRDefault="008459D2">
      <w:pPr>
        <w:spacing w:line="160" w:lineRule="atLeast"/>
        <w:jc w:val="both"/>
      </w:pPr>
      <w:r>
        <w:rPr>
          <w:rFonts w:ascii="標楷體" w:eastAsia="標楷體" w:hAnsi="標楷體"/>
          <w:sz w:val="22"/>
          <w:szCs w:val="22"/>
        </w:rPr>
        <w:t xml:space="preserve">      2</w:t>
      </w:r>
      <w:r>
        <w:rPr>
          <w:rFonts w:ascii="標楷體" w:eastAsia="標楷體" w:hAnsi="標楷體"/>
          <w:sz w:val="22"/>
          <w:szCs w:val="22"/>
        </w:rPr>
        <w:t>、校訂</w:t>
      </w:r>
      <w:r>
        <w:rPr>
          <w:rFonts w:eastAsia="標楷體"/>
          <w:sz w:val="22"/>
          <w:szCs w:val="22"/>
        </w:rPr>
        <w:t>通識教育科目請送開課單位審核，相關單位如下</w:t>
      </w:r>
      <w:r>
        <w:rPr>
          <w:rFonts w:eastAsia="標楷體"/>
          <w:sz w:val="22"/>
          <w:szCs w:val="22"/>
        </w:rPr>
        <w:t>:</w:t>
      </w:r>
      <w:r>
        <w:rPr>
          <w:rFonts w:eastAsia="標楷體"/>
          <w:b/>
          <w:bCs/>
          <w:sz w:val="22"/>
          <w:szCs w:val="22"/>
        </w:rPr>
        <w:t>大學國</w:t>
      </w:r>
      <w:r>
        <w:rPr>
          <w:rFonts w:ascii="標楷體" w:eastAsia="標楷體" w:hAnsi="標楷體"/>
          <w:b/>
          <w:bCs/>
          <w:sz w:val="22"/>
          <w:szCs w:val="22"/>
        </w:rPr>
        <w:t>文</w:t>
      </w:r>
      <w:r>
        <w:rPr>
          <w:rFonts w:ascii="標楷體" w:eastAsia="標楷體" w:hAnsi="標楷體"/>
          <w:b/>
          <w:bCs/>
          <w:sz w:val="22"/>
          <w:szCs w:val="22"/>
        </w:rPr>
        <w:t>-</w:t>
      </w:r>
      <w:r>
        <w:rPr>
          <w:rFonts w:eastAsia="標楷體"/>
          <w:b/>
          <w:bCs/>
          <w:sz w:val="22"/>
          <w:szCs w:val="22"/>
        </w:rPr>
        <w:t>中國文學系、英文溝通訓練</w:t>
      </w:r>
      <w:r>
        <w:rPr>
          <w:rFonts w:ascii="標楷體" w:eastAsia="標楷體" w:hAnsi="標楷體"/>
          <w:b/>
          <w:bCs/>
          <w:sz w:val="22"/>
          <w:szCs w:val="22"/>
        </w:rPr>
        <w:t>-</w:t>
      </w:r>
      <w:r>
        <w:rPr>
          <w:rFonts w:eastAsia="標楷體"/>
          <w:b/>
          <w:bCs/>
          <w:sz w:val="22"/>
          <w:szCs w:val="22"/>
        </w:rPr>
        <w:t>語言中心、</w:t>
      </w:r>
      <w:r>
        <w:rPr>
          <w:rFonts w:eastAsia="標楷體"/>
          <w:b/>
          <w:bCs/>
        </w:rPr>
        <w:t>體育</w:t>
      </w:r>
      <w:r>
        <w:rPr>
          <w:rFonts w:ascii="標楷體" w:eastAsia="標楷體" w:hAnsi="標楷體"/>
          <w:b/>
          <w:bCs/>
        </w:rPr>
        <w:t>-</w:t>
      </w:r>
      <w:r>
        <w:rPr>
          <w:rFonts w:ascii="標楷體" w:eastAsia="標楷體" w:hAnsi="標楷體"/>
          <w:b/>
          <w:bCs/>
        </w:rPr>
        <w:t>體育與健康休閒學系</w:t>
      </w:r>
      <w:r>
        <w:rPr>
          <w:rFonts w:eastAsia="標楷體"/>
          <w:b/>
          <w:bCs/>
          <w:sz w:val="22"/>
          <w:szCs w:val="22"/>
        </w:rPr>
        <w:t>、通識教育博</w:t>
      </w:r>
    </w:p>
    <w:p w:rsidR="003E6E4C" w:rsidRDefault="008459D2">
      <w:pPr>
        <w:spacing w:line="160" w:lineRule="atLeast"/>
        <w:jc w:val="both"/>
      </w:pPr>
      <w:r>
        <w:rPr>
          <w:rFonts w:eastAsia="標楷體"/>
          <w:b/>
          <w:bCs/>
          <w:sz w:val="22"/>
          <w:szCs w:val="22"/>
        </w:rPr>
        <w:t xml:space="preserve">                  </w:t>
      </w:r>
      <w:r>
        <w:rPr>
          <w:rFonts w:eastAsia="標楷體"/>
          <w:b/>
          <w:bCs/>
          <w:sz w:val="22"/>
          <w:szCs w:val="22"/>
        </w:rPr>
        <w:t>雅素養領域課程、基礎程式設計</w:t>
      </w:r>
      <w:r>
        <w:rPr>
          <w:rFonts w:eastAsia="標楷體"/>
          <w:b/>
          <w:bCs/>
          <w:sz w:val="22"/>
          <w:szCs w:val="22"/>
        </w:rPr>
        <w:t>-</w:t>
      </w:r>
      <w:r>
        <w:rPr>
          <w:rFonts w:eastAsia="標楷體"/>
          <w:b/>
          <w:bCs/>
          <w:sz w:val="22"/>
          <w:szCs w:val="22"/>
        </w:rPr>
        <w:t>通識中心審核。</w:t>
      </w:r>
    </w:p>
    <w:p w:rsidR="003E6E4C" w:rsidRDefault="008459D2">
      <w:pPr>
        <w:snapToGrid w:val="0"/>
        <w:spacing w:line="16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標楷體" w:eastAsia="標楷體" w:hAnsi="標楷體"/>
          <w:sz w:val="22"/>
          <w:szCs w:val="22"/>
        </w:rPr>
        <w:t>3</w:t>
      </w:r>
      <w:r>
        <w:rPr>
          <w:rFonts w:ascii="標楷體" w:eastAsia="標楷體" w:hAnsi="標楷體"/>
          <w:sz w:val="22"/>
          <w:szCs w:val="22"/>
        </w:rPr>
        <w:t>、抵免學分之原則如下</w:t>
      </w:r>
      <w:r>
        <w:rPr>
          <w:rFonts w:ascii="標楷體" w:eastAsia="標楷體" w:hAnsi="標楷體"/>
          <w:sz w:val="22"/>
          <w:szCs w:val="22"/>
        </w:rPr>
        <w:t>:(1)</w:t>
      </w:r>
      <w:r>
        <w:rPr>
          <w:rFonts w:ascii="標楷體" w:eastAsia="標楷體" w:hAnsi="標楷體"/>
          <w:sz w:val="22"/>
          <w:szCs w:val="22"/>
        </w:rPr>
        <w:t>科目名稱、內容相同者。</w:t>
      </w:r>
      <w:r>
        <w:rPr>
          <w:rFonts w:ascii="標楷體" w:eastAsia="標楷體" w:hAnsi="標楷體"/>
          <w:sz w:val="22"/>
          <w:szCs w:val="22"/>
        </w:rPr>
        <w:t>(2)</w:t>
      </w:r>
      <w:r>
        <w:rPr>
          <w:rFonts w:ascii="標楷體" w:eastAsia="標楷體" w:hAnsi="標楷體"/>
          <w:sz w:val="22"/>
          <w:szCs w:val="22"/>
        </w:rPr>
        <w:t>科目名稱不同而內容相同者。</w:t>
      </w:r>
      <w:r>
        <w:rPr>
          <w:rFonts w:ascii="標楷體" w:eastAsia="標楷體" w:hAnsi="標楷體"/>
          <w:sz w:val="22"/>
          <w:szCs w:val="22"/>
        </w:rPr>
        <w:t>(3)</w:t>
      </w:r>
      <w:r>
        <w:rPr>
          <w:rFonts w:ascii="標楷體" w:eastAsia="標楷體" w:hAnsi="標楷體"/>
          <w:sz w:val="22"/>
          <w:szCs w:val="22"/>
        </w:rPr>
        <w:t>科目名稱、內容不同而性質相同者，必要時得酌予抵免。</w:t>
      </w:r>
    </w:p>
    <w:p w:rsidR="003E6E4C" w:rsidRDefault="008459D2">
      <w:pPr>
        <w:snapToGrid w:val="0"/>
        <w:spacing w:line="160" w:lineRule="atLeast"/>
        <w:jc w:val="both"/>
      </w:pPr>
      <w:r>
        <w:rPr>
          <w:rFonts w:ascii="標楷體" w:eastAsia="標楷體" w:hAnsi="標楷體"/>
          <w:sz w:val="22"/>
          <w:szCs w:val="22"/>
        </w:rPr>
        <w:t xml:space="preserve">      4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必修科目因停開、改為選修或更改名稱及學分時，經系所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單位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主管核章後，得以性質相近或新訂名稱之科目代替，但其畢業總學分數不得減少。</w:t>
      </w:r>
    </w:p>
    <w:p w:rsidR="003E6E4C" w:rsidRDefault="008459D2">
      <w:pPr>
        <w:snapToGrid w:val="0"/>
        <w:spacing w:line="160" w:lineRule="atLeast"/>
        <w:jc w:val="both"/>
      </w:pPr>
      <w:r>
        <w:rPr>
          <w:rFonts w:ascii="標楷體" w:eastAsia="標楷體" w:hAnsi="標楷體"/>
          <w:sz w:val="22"/>
          <w:szCs w:val="22"/>
        </w:rPr>
        <w:t xml:space="preserve">      5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本表應於修習課程前先提出申請，經上述相關主管核章後始據以修課。</w:t>
      </w:r>
    </w:p>
    <w:p w:rsidR="003E6E4C" w:rsidRDefault="008459D2">
      <w:pPr>
        <w:snapToGrid w:val="0"/>
        <w:spacing w:line="160" w:lineRule="atLeast"/>
        <w:jc w:val="both"/>
      </w:pPr>
      <w:r>
        <w:rPr>
          <w:rFonts w:ascii="標楷體" w:eastAsia="標楷體" w:hAnsi="標楷體"/>
          <w:sz w:val="22"/>
          <w:szCs w:val="22"/>
        </w:rPr>
        <w:t xml:space="preserve">      6</w:t>
      </w:r>
      <w:r>
        <w:rPr>
          <w:rFonts w:ascii="標楷體" w:eastAsia="標楷體" w:hAnsi="標楷體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本表辦理完畢後請交由教務處各校區承辦人。</w:t>
      </w:r>
    </w:p>
    <w:sectPr w:rsidR="003E6E4C">
      <w:pgSz w:w="16838" w:h="11906" w:orient="landscape"/>
      <w:pgMar w:top="454" w:right="851" w:bottom="454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D2" w:rsidRDefault="008459D2">
      <w:r>
        <w:separator/>
      </w:r>
    </w:p>
  </w:endnote>
  <w:endnote w:type="continuationSeparator" w:id="0">
    <w:p w:rsidR="008459D2" w:rsidRDefault="0084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D2" w:rsidRDefault="008459D2">
      <w:r>
        <w:rPr>
          <w:color w:val="000000"/>
        </w:rPr>
        <w:separator/>
      </w:r>
    </w:p>
  </w:footnote>
  <w:footnote w:type="continuationSeparator" w:id="0">
    <w:p w:rsidR="008459D2" w:rsidRDefault="0084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6E4C"/>
    <w:rsid w:val="003E6E4C"/>
    <w:rsid w:val="008459D2"/>
    <w:rsid w:val="00B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407A5-B730-4E3D-895B-8DC85031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國立嘉義大學必修課程抵修申請表（重、補修適用）</dc:title>
  <dc:subject/>
  <dc:creator>user</dc:creator>
  <cp:lastModifiedBy>civil</cp:lastModifiedBy>
  <cp:revision>2</cp:revision>
  <cp:lastPrinted>2022-08-01T05:43:00Z</cp:lastPrinted>
  <dcterms:created xsi:type="dcterms:W3CDTF">2023-02-02T06:32:00Z</dcterms:created>
  <dcterms:modified xsi:type="dcterms:W3CDTF">2023-02-02T06:32:00Z</dcterms:modified>
</cp:coreProperties>
</file>