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odttf" ContentType="application/vnd.openxmlformats-officedocument.obfuscatedFont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autoSpaceDE w:val="0"/>
        <w:autoSpaceDN w:val="0"/>
        <w:adjustRightInd w:val="0"/>
        <w:spacing w:before="0" w:after="0" w:line="96" w:lineRule="exact"/>
        <w:rPr>
          <w:rFonts w:ascii="DFKaiShu-SB-Estd-BF" w:hAnsi="DFKaiShu-SB-Estd-BF" w:cs="DFKaiShu-SB-Estd-BF"/>
          <w:color w:val="000000"/>
          <w:sz w:val="28"/>
          <w:szCs w:val="28"/>
        </w:rPr>
        <w:ind w:left="1711"/>
        <w:jc w:val="left"/>
      </w:pPr>
    </w:p>
    <w:p>
      <w:pPr>
        <w:autoSpaceDE w:val="0"/>
        <w:autoSpaceDN w:val="0"/>
        <w:adjustRightInd w:val="0"/>
        <w:spacing w:before="0" w:after="41" w:line="280" w:lineRule="exact"/>
        <w:ind w:left="1711"/>
        <w:jc w:val="left"/>
        <w:rPr>
          <w:rFonts w:ascii="DFKaiShu-SB-Estd-BF" w:hAnsi="DFKaiShu-SB-Estd-BF" w:cs="DFKaiShu-SB-Estd-BF"/>
          <w:color w:val="000000"/>
          <w:sz w:val="28"/>
          <w:szCs w:val="28"/>
        </w:rPr>
      </w:pPr>
      <w:r>
        <w:rPr>
          <w:rFonts w:ascii="DFKaiShu-SB-Estd-BF" w:hAnsi="DFKaiShu-SB-Estd-BF" w:cs="DFKaiShu-SB-Estd-BF"/>
          <w:color w:val="000000"/>
          <w:sz w:val="28"/>
          <w:szCs w:val="28"/>
          <w:spacing w:val="1"/>
        </w:rPr>
        <w:t>國立嘉義大學學生修習學、碩士一貫學程辦法</w:t>
      </w:r>
      <w:r>
        <w:rPr>
          <w:rFonts w:ascii="DFKaiShu-SB-Estd-BF" w:hAnsi="DFKaiShu-SB-Estd-BF" w:cs="DFKaiShu-SB-Estd-BF"/>
          <w:color w:val="000000"/>
          <w:sz w:val="28"/>
          <w:szCs w:val="28"/>
          <w:spacing w:val="1"/>
        </w:rPr>
        <w:t xml:space="preserve"> </w:t>
      </w:r>
    </w:p>
    <w:p>
      <w:pPr>
        <w:autoSpaceDE w:val="0"/>
        <w:autoSpaceDN w:val="0"/>
        <w:adjustRightInd w:val="0"/>
        <w:spacing w:before="0" w:after="126" w:line="280" w:lineRule="exact"/>
        <w:ind w:left="360"/>
        <w:jc w:val="left"/>
        <w:rPr>
          <w:rFonts w:ascii="DFKaiShu-SB-Estd-BF" w:hAnsi="DFKaiShu-SB-Estd-BF" w:cs="DFKaiShu-SB-Estd-BF"/>
          <w:color w:val="000000"/>
          <w:sz w:val="28"/>
          <w:szCs w:val="28"/>
        </w:rPr>
      </w:pPr>
      <w:r>
        <w:rPr>
          <w:rFonts w:ascii="DFKaiShu-SB-Estd-BF" w:hAnsi="DFKaiShu-SB-Estd-BF" w:cs="DFKaiShu-SB-Estd-BF"/>
          <w:color w:val="000000"/>
          <w:sz w:val="28"/>
          <w:szCs w:val="28"/>
        </w:rPr>
        <w:t xml:space="preserve">                            </w:t>
      </w:r>
      <w:r>
        <w:rPr>
          <w:rFonts w:ascii="DFKaiShu-SB-Estd-BF" w:hAnsi="DFKaiShu-SB-Estd-BF" w:cs="DFKaiShu-SB-Estd-BF"/>
          <w:color w:val="000000"/>
          <w:sz w:val="28"/>
          <w:szCs w:val="28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pacing w:val="-3"/>
          <w:position w:val="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position w:val="0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  <w:position w:val="0"/>
        </w:rPr>
        <w:t>94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1"/>
          <w:position w:val="0"/>
        </w:rPr>
        <w:t>年</w:t>
      </w:r>
      <w:r>
        <w:rPr>
          <w:rFonts w:ascii="Times New Roman" w:hAnsi="Times New Roman" w:cs="Times New Roman"/>
          <w:color w:val="000000"/>
          <w:sz w:val="20"/>
          <w:szCs w:val="20"/>
          <w:position w:val="0"/>
        </w:rPr>
        <w:t>3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1"/>
          <w:position w:val="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  <w:position w:val="0"/>
        </w:rPr>
        <w:t>8</w:t>
      </w:r>
      <w:r>
        <w:rPr>
          <w:rFonts w:ascii="DFKaiShu-SB-Estd-BF" w:hAnsi="DFKaiShu-SB-Estd-BF" w:cs="DFKaiShu-SB-Estd-BF"/>
          <w:color w:val="000000"/>
          <w:sz w:val="20"/>
          <w:szCs w:val="20"/>
          <w:position w:val="0"/>
        </w:rPr>
        <w:t>日教務會議通過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  <w:position w:val="0"/>
        </w:rPr>
        <w:t xml:space="preserve"> </w:t>
      </w:r>
    </w:p>
    <w:p>
      <w:pPr>
        <w:autoSpaceDE w:val="0"/>
        <w:autoSpaceDN w:val="0"/>
        <w:adjustRightInd w:val="0"/>
        <w:spacing w:before="0" w:after="141" w:line="218" w:lineRule="exact"/>
        <w:ind w:left="36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96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50"/>
        </w:rPr>
        <w:t>年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1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DFKaiShu-SB-Estd-BF" w:hAnsi="DFKaiShu-SB-Estd-BF" w:cs="DFKaiShu-SB-Estd-BF"/>
          <w:color w:val="000000"/>
          <w:sz w:val="20"/>
          <w:szCs w:val="20"/>
        </w:rPr>
        <w:t>日教務會議修正通過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</w:p>
    <w:p>
      <w:pPr>
        <w:autoSpaceDE w:val="0"/>
        <w:autoSpaceDN w:val="0"/>
        <w:adjustRightInd w:val="0"/>
        <w:spacing w:before="0" w:after="141" w:line="218" w:lineRule="exact"/>
        <w:ind w:left="36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97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50"/>
        </w:rPr>
        <w:t>年</w:t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1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>30</w:t>
      </w:r>
      <w:r>
        <w:rPr>
          <w:rFonts w:ascii="DFKaiShu-SB-Estd-BF" w:hAnsi="DFKaiShu-SB-Estd-BF" w:cs="DFKaiShu-SB-Estd-BF"/>
          <w:color w:val="000000"/>
          <w:sz w:val="20"/>
          <w:szCs w:val="20"/>
        </w:rPr>
        <w:t>日教務會議修正通過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</w:p>
    <w:p>
      <w:pPr>
        <w:autoSpaceDE w:val="0"/>
        <w:autoSpaceDN w:val="0"/>
        <w:adjustRightInd w:val="0"/>
        <w:spacing w:before="0" w:after="139" w:line="218" w:lineRule="exact"/>
        <w:ind w:left="36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103</w:t>
      </w:r>
      <w:r>
        <w:rPr>
          <w:rFonts w:ascii="DFKaiShu-SB-Estd-BF" w:hAnsi="DFKaiShu-SB-Estd-BF" w:cs="DFKaiShu-SB-Estd-BF"/>
          <w:color w:val="000000"/>
          <w:sz w:val="20"/>
          <w:szCs w:val="20"/>
          <w:spacing w:val="-50"/>
        </w:rPr>
        <w:t>年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>10</w:t>
      </w:r>
      <w:r>
        <w:rPr>
          <w:rFonts w:ascii="DFKaiShu-SB-Estd-BF" w:hAnsi="DFKaiShu-SB-Estd-BF" w:cs="DFKaiShu-SB-Estd-BF"/>
          <w:color w:val="000000"/>
          <w:sz w:val="20"/>
          <w:szCs w:val="20"/>
        </w:rPr>
        <w:t>月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>14</w:t>
      </w:r>
      <w:r>
        <w:rPr>
          <w:rFonts w:ascii="DFKaiShu-SB-Estd-BF" w:hAnsi="DFKaiShu-SB-Estd-BF" w:cs="DFKaiShu-SB-Estd-BF"/>
          <w:color w:val="000000"/>
          <w:sz w:val="20"/>
          <w:szCs w:val="20"/>
        </w:rPr>
        <w:t>日教務會議修正通過</w:t>
      </w:r>
      <w:r>
        <w:rPr>
          <w:rFonts w:ascii="Times New Roman" w:hAnsi="Times New Roman" w:cs="Times New Roman"/>
          <w:color w:val="000000"/>
          <w:sz w:val="20"/>
          <w:szCs w:val="20"/>
          <w:spacing w:val="-1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第一條 國立嘉義大學（以下簡稱本校）為鼓勵大學部（含進修學士班）優秀學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  <w:spacing w:val="-3"/>
        </w:rPr>
        <w:t>生繼續留在本校就讀碩士班，並期達到連續學習及縮短修業年限之目的</w:t>
      </w:r>
      <w:r>
        <w:rPr>
          <w:rFonts w:ascii="DFKaiShu-SB-Estd-BF" w:hAnsi="DFKaiShu-SB-Estd-BF" w:cs="DFKaiShu-SB-Estd-BF"/>
          <w:color w:val="000000"/>
          <w:sz w:val="24"/>
          <w:szCs w:val="24"/>
          <w:spacing w:val="-46"/>
        </w:rPr>
        <w:t>，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>特訂定國立嘉義大學學生修讀學、碩士一貫學程辦法（以下簡稱本辦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法）。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  <w:spacing w:val="-3"/>
        </w:rPr>
        <w:t xml:space="preserve">第二條大學部（含進修學士班）學生得於三年級（獸醫學系四年級）下學期結束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  <w:spacing w:val="-7"/>
        </w:rPr>
        <w:t xml:space="preserve">      後，於每年六月卅日前，向各系所碩士班提出申請修讀</w:t>
      </w:r>
      <w:r>
        <w:rPr>
          <w:rFonts w:ascii="DFKaiShu-SB-Estd-BF" w:hAnsi="DFKaiShu-SB-Estd-BF" w:cs="DFKaiShu-SB-Estd-BF"/>
          <w:color w:val="0000ff"/>
          <w:sz w:val="24"/>
          <w:szCs w:val="24"/>
          <w:spacing w:val="-42"/>
        </w:rPr>
        <w:t>學、碩士</w:t>
      </w:r>
      <w:r>
        <w:rPr>
          <w:rFonts w:ascii="DFKaiShu-SB-Estd-BF" w:hAnsi="DFKaiShu-SB-Estd-BF" w:cs="DFKaiShu-SB-Estd-BF"/>
          <w:color w:val="000000"/>
          <w:sz w:val="24"/>
          <w:szCs w:val="24"/>
          <w:spacing w:val="9"/>
        </w:rPr>
        <w:t xml:space="preserve">一貫學程。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02.839996337891pt;top:286.740051269531pt;width:42.4200134277344pt;height:0.5999755859375pt;z-index:-25116992;mso-position-horizontal:absolute;mso-position-horizontal-relative:page;mso-position-vertical:absolute;mso-position-vertical-relative:page" filled="t" stroked="f" coordsize="848.4,11.9995" coordorigin="0,0" path="m 0,12 l 848,12 l 848,0 l 0,0 x e" fillcolor="#0000ff">
            <v:fill opacity="1"/>
            <w10:wrap anchorx="page" anchory="page"/>
            <w10:anchorlock/>
          </v:shape>
        </w:pict>
      </w: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      錄取名額、甄選標準及甄選程序由各系所自訂，並提教務會議</w:t>
      </w:r>
      <w:r>
        <w:rPr>
          <w:rFonts w:ascii="DFKaiShu-SB-Estd-BF" w:hAnsi="DFKaiShu-SB-Estd-BF" w:cs="DFKaiShu-SB-Estd-BF"/>
          <w:color w:val="0000ff"/>
          <w:sz w:val="24"/>
          <w:szCs w:val="24"/>
        </w:rPr>
        <w:t>核備</w:t>
      </w: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。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noProof/>
        </w:rPr>
        <w:pict>
          <v:shape style="position:absolute;margin-left:0pt;margin-top:0pt;left:450pt;top:304.740051269531pt;width:24pt;height:0.5999755859375pt;z-index:-25112896;mso-position-horizontal:absolute;mso-position-horizontal-relative:page;mso-position-vertical:absolute;mso-position-vertical-relative:page" filled="t" stroked="f" coordsize="480,11.9995" coordorigin="0,0" path="m 0,12 l 480,12 l 480,0 l 0,0 x e" fillcolor="#0000ff">
            <v:fill opacity="1"/>
            <w10:wrap anchorx="page" anchory="page"/>
            <w10:anchorlock/>
          </v:shape>
        </w:pict>
      </w:r>
      <w:r>
        <w:rPr>
          <w:rFonts w:ascii="DFKaiShu-SB-Estd-BF" w:hAnsi="DFKaiShu-SB-Estd-BF" w:cs="DFKaiShu-SB-Estd-BF"/>
          <w:color w:val="000000"/>
          <w:sz w:val="24"/>
          <w:szCs w:val="24"/>
          <w:spacing w:val="-6"/>
        </w:rPr>
        <w:t xml:space="preserve">第三條 錄取之學生兼具學士學位候選人及碩士班預備研究生（以下簡稱預研生） 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資格。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第四條 取得預研生資格後，必須於規定修業年限內（不含延畢生）取得學士學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>位，並於畢業年度參加本校碩士班甄試入學或一般生入學考試，經錄取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後始正式取得碩士班研究生資格。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第五條 預研生在大學期間所選修之研究所課程，至多可抵免四分之三碩士班研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>究生應修學分數（不含論文學分，且不受本校學生抵免學分辦法有關研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究所抵免學分上限規定之限制）。 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>但碩士班課程若已計入大學部畢業學分數內，不得再申請抵免碩士班學</w:t>
      </w:r>
    </w:p>
    <w:p>
      <w:pPr>
        <w:autoSpaceDE w:val="0"/>
        <w:autoSpaceDN w:val="0"/>
        <w:adjustRightInd w:val="0"/>
        <w:spacing w:before="0" w:after="120" w:line="240" w:lineRule="exact"/>
        <w:ind w:left="120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分數。 </w:t>
      </w:r>
    </w:p>
    <w:p>
      <w:pPr>
        <w:autoSpaceDE w:val="0"/>
        <w:autoSpaceDN w:val="0"/>
        <w:adjustRightInd w:val="0"/>
        <w:spacing w:before="0" w:after="157" w:line="240" w:lineRule="exact"/>
        <w:ind w:left="360"/>
        <w:jc w:val="left"/>
        <w:rPr>
          <w:rFonts w:ascii="DFKaiShu-SB-Estd-BF" w:hAnsi="DFKaiShu-SB-Estd-BF" w:cs="DFKaiShu-SB-Estd-BF"/>
          <w:color w:val="000000"/>
          <w:sz w:val="24"/>
          <w:szCs w:val="24"/>
        </w:rPr>
      </w:pPr>
      <w:r>
        <w:rPr>
          <w:rFonts w:ascii="DFKaiShu-SB-Estd-BF" w:hAnsi="DFKaiShu-SB-Estd-BF" w:cs="DFKaiShu-SB-Estd-BF"/>
          <w:color w:val="000000"/>
          <w:sz w:val="24"/>
          <w:szCs w:val="24"/>
        </w:rPr>
        <w:t xml:space="preserve">第六條 本辦法經教務會議通過，陳請校長核定後實施。 </w:t>
      </w:r>
    </w:p>
    <w:p>
      <w:pPr>
        <w:autoSpaceDE w:val="0"/>
        <w:autoSpaceDN w:val="0"/>
        <w:adjustRightInd w:val="0"/>
        <w:spacing w:before="0" w:after="77" w:line="280" w:lineRule="exact"/>
        <w:ind w:left="360"/>
        <w:jc w:val="left"/>
        <w:rPr>
          <w:rFonts w:ascii="DFKaiShu-SB-Estd-BF" w:hAnsi="DFKaiShu-SB-Estd-BF" w:cs="DFKaiShu-SB-Estd-BF"/>
          <w:color w:val="000000"/>
          <w:sz w:val="28"/>
          <w:szCs w:val="28"/>
        </w:rPr>
      </w:pPr>
      <w:r>
        <w:rPr>
          <w:rFonts w:ascii="DFKaiShu-SB-Estd-BF" w:hAnsi="DFKaiShu-SB-Estd-BF" w:cs="DFKaiShu-SB-Estd-BF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12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0" w:after="0" w:line="240" w:lineRule="exact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>
      <w:pgSz w:w="11904" w:h="16840" w:code="1"/>
      <w:pgMar w:top="1440" w:right="720" w:bottom="720" w:left="144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KaiShu-SB-Estd-BF">
    <w:embedRegular r:id="rId4" w:fontKey="{E06C4400-EBE8-4561-8F68-FACE9F9DAE6D}"/>
  </w:font>
  <w:font w:name="Times New Roman"/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4.odttf" Id="rId4" /></Relationships>
</file>