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3B" w:rsidRPr="00881BCD" w:rsidRDefault="0092383B" w:rsidP="0092383B">
      <w:pPr>
        <w:jc w:val="center"/>
        <w:rPr>
          <w:rFonts w:ascii="標楷體" w:eastAsia="標楷體" w:hAnsi="標楷體"/>
          <w:sz w:val="32"/>
          <w:szCs w:val="32"/>
        </w:rPr>
      </w:pPr>
      <w:bookmarkStart w:id="0" w:name="_GoBack"/>
      <w:bookmarkEnd w:id="0"/>
      <w:r w:rsidRPr="00881BCD">
        <w:rPr>
          <w:rFonts w:ascii="標楷體" w:eastAsia="標楷體" w:hAnsi="標楷體" w:hint="eastAsia"/>
          <w:sz w:val="32"/>
          <w:szCs w:val="32"/>
        </w:rPr>
        <w:t>國立嘉義大學教師聘任及升等審查原則</w:t>
      </w:r>
    </w:p>
    <w:p w:rsidR="0092383B" w:rsidRPr="00881BCD" w:rsidRDefault="0092383B" w:rsidP="0023412B">
      <w:pPr>
        <w:spacing w:line="280" w:lineRule="exact"/>
        <w:jc w:val="right"/>
        <w:rPr>
          <w:rFonts w:ascii="標楷體" w:eastAsia="標楷體" w:hAnsi="標楷體"/>
          <w:sz w:val="18"/>
          <w:szCs w:val="18"/>
        </w:rPr>
      </w:pPr>
      <w:r w:rsidRPr="00881BCD">
        <w:rPr>
          <w:rFonts w:ascii="標楷體" w:eastAsia="標楷體" w:hAnsi="標楷體" w:hint="eastAsia"/>
          <w:sz w:val="18"/>
          <w:szCs w:val="18"/>
        </w:rPr>
        <w:t>中華民國104年10月20日104學年度第1學期第1次校務會議通過</w:t>
      </w:r>
    </w:p>
    <w:p w:rsidR="004A1BE2" w:rsidRDefault="004A1BE2" w:rsidP="0023412B">
      <w:pPr>
        <w:spacing w:line="280" w:lineRule="exact"/>
        <w:ind w:leftChars="1772" w:left="4253"/>
        <w:jc w:val="both"/>
        <w:rPr>
          <w:rFonts w:ascii="標楷體" w:eastAsia="標楷體" w:hAnsi="標楷體"/>
          <w:sz w:val="18"/>
          <w:szCs w:val="18"/>
        </w:rPr>
      </w:pPr>
      <w:r w:rsidRPr="00881BCD">
        <w:rPr>
          <w:rFonts w:ascii="標楷體" w:eastAsia="標楷體" w:hAnsi="標楷體" w:hint="eastAsia"/>
          <w:sz w:val="18"/>
          <w:szCs w:val="18"/>
        </w:rPr>
        <w:t>中華民國105年</w:t>
      </w:r>
      <w:r w:rsidR="00B44A77" w:rsidRPr="00881BCD">
        <w:rPr>
          <w:rFonts w:ascii="標楷體" w:eastAsia="標楷體" w:hAnsi="標楷體"/>
          <w:sz w:val="18"/>
          <w:szCs w:val="18"/>
        </w:rPr>
        <w:t>10</w:t>
      </w:r>
      <w:r w:rsidRPr="00881BCD">
        <w:rPr>
          <w:rFonts w:ascii="標楷體" w:eastAsia="標楷體" w:hAnsi="標楷體" w:hint="eastAsia"/>
          <w:sz w:val="18"/>
          <w:szCs w:val="18"/>
        </w:rPr>
        <w:t>月</w:t>
      </w:r>
      <w:r w:rsidR="00B44A77" w:rsidRPr="00881BCD">
        <w:rPr>
          <w:rFonts w:ascii="標楷體" w:eastAsia="標楷體" w:hAnsi="標楷體" w:hint="eastAsia"/>
          <w:sz w:val="18"/>
          <w:szCs w:val="18"/>
        </w:rPr>
        <w:t>18</w:t>
      </w:r>
      <w:r w:rsidRPr="00881BCD">
        <w:rPr>
          <w:rFonts w:ascii="標楷體" w:eastAsia="標楷體" w:hAnsi="標楷體" w:hint="eastAsia"/>
          <w:sz w:val="18"/>
          <w:szCs w:val="18"/>
        </w:rPr>
        <w:t>日105學年度第1學期第</w:t>
      </w:r>
      <w:r w:rsidR="00B44A77" w:rsidRPr="00881BCD">
        <w:rPr>
          <w:rFonts w:ascii="標楷體" w:eastAsia="標楷體" w:hAnsi="標楷體" w:hint="eastAsia"/>
          <w:sz w:val="18"/>
          <w:szCs w:val="18"/>
        </w:rPr>
        <w:t>1</w:t>
      </w:r>
      <w:r w:rsidRPr="00881BCD">
        <w:rPr>
          <w:rFonts w:ascii="標楷體" w:eastAsia="標楷體" w:hAnsi="標楷體" w:hint="eastAsia"/>
          <w:sz w:val="18"/>
          <w:szCs w:val="18"/>
        </w:rPr>
        <w:t>次校務會議</w:t>
      </w:r>
      <w:r w:rsidR="0023412B" w:rsidRPr="00881BCD">
        <w:rPr>
          <w:rFonts w:ascii="標楷體" w:eastAsia="標楷體" w:hAnsi="標楷體" w:hint="eastAsia"/>
          <w:sz w:val="18"/>
          <w:szCs w:val="18"/>
        </w:rPr>
        <w:t>修正</w:t>
      </w:r>
      <w:r w:rsidRPr="00881BCD">
        <w:rPr>
          <w:rFonts w:ascii="標楷體" w:eastAsia="標楷體" w:hAnsi="標楷體" w:hint="eastAsia"/>
          <w:sz w:val="18"/>
          <w:szCs w:val="18"/>
        </w:rPr>
        <w:t>通過</w:t>
      </w:r>
      <w:r w:rsidR="0023412B" w:rsidRPr="00881BCD">
        <w:rPr>
          <w:rFonts w:ascii="標楷體" w:eastAsia="標楷體" w:hAnsi="標楷體" w:hint="eastAsia"/>
          <w:sz w:val="18"/>
          <w:szCs w:val="18"/>
        </w:rPr>
        <w:t>第2點、第3點、第</w:t>
      </w:r>
      <w:r w:rsidR="0023412B" w:rsidRPr="00881BCD">
        <w:rPr>
          <w:rFonts w:ascii="標楷體" w:eastAsia="標楷體" w:hAnsi="標楷體"/>
          <w:sz w:val="18"/>
          <w:szCs w:val="18"/>
        </w:rPr>
        <w:t>4</w:t>
      </w:r>
      <w:r w:rsidR="0023412B" w:rsidRPr="00881BCD">
        <w:rPr>
          <w:rFonts w:ascii="標楷體" w:eastAsia="標楷體" w:hAnsi="標楷體" w:hint="eastAsia"/>
          <w:sz w:val="18"/>
          <w:szCs w:val="18"/>
        </w:rPr>
        <w:t>點、第</w:t>
      </w:r>
      <w:r w:rsidR="0023412B" w:rsidRPr="00881BCD">
        <w:rPr>
          <w:rFonts w:ascii="標楷體" w:eastAsia="標楷體" w:hAnsi="標楷體"/>
          <w:sz w:val="18"/>
          <w:szCs w:val="18"/>
        </w:rPr>
        <w:t>5</w:t>
      </w:r>
      <w:r w:rsidR="0023412B" w:rsidRPr="00881BCD">
        <w:rPr>
          <w:rFonts w:ascii="標楷體" w:eastAsia="標楷體" w:hAnsi="標楷體" w:hint="eastAsia"/>
          <w:sz w:val="18"/>
          <w:szCs w:val="18"/>
        </w:rPr>
        <w:t>點、第6點</w:t>
      </w:r>
    </w:p>
    <w:p w:rsidR="00881BCD" w:rsidRPr="00881BCD" w:rsidRDefault="00881BCD" w:rsidP="0023412B">
      <w:pPr>
        <w:spacing w:line="280" w:lineRule="exact"/>
        <w:ind w:leftChars="1772" w:left="4253"/>
        <w:jc w:val="both"/>
        <w:rPr>
          <w:rFonts w:ascii="標楷體" w:eastAsia="標楷體" w:hAnsi="標楷體"/>
          <w:sz w:val="32"/>
          <w:szCs w:val="32"/>
        </w:rPr>
      </w:pPr>
      <w:r w:rsidRPr="00881BCD">
        <w:rPr>
          <w:rFonts w:ascii="標楷體" w:eastAsia="標楷體" w:hAnsi="標楷體" w:hint="eastAsia"/>
          <w:sz w:val="18"/>
          <w:szCs w:val="18"/>
        </w:rPr>
        <w:t>中華民國105年</w:t>
      </w:r>
      <w:r w:rsidRPr="00881BCD">
        <w:rPr>
          <w:rFonts w:ascii="標楷體" w:eastAsia="標楷體" w:hAnsi="標楷體"/>
          <w:sz w:val="18"/>
          <w:szCs w:val="18"/>
        </w:rPr>
        <w:t>1</w:t>
      </w:r>
      <w:r w:rsidR="00EE1619">
        <w:rPr>
          <w:rFonts w:ascii="標楷體" w:eastAsia="標楷體" w:hAnsi="標楷體" w:hint="eastAsia"/>
          <w:sz w:val="18"/>
          <w:szCs w:val="18"/>
        </w:rPr>
        <w:t>2</w:t>
      </w:r>
      <w:r w:rsidRPr="00881BCD">
        <w:rPr>
          <w:rFonts w:ascii="標楷體" w:eastAsia="標楷體" w:hAnsi="標楷體" w:hint="eastAsia"/>
          <w:sz w:val="18"/>
          <w:szCs w:val="18"/>
        </w:rPr>
        <w:t>月</w:t>
      </w:r>
      <w:r w:rsidR="00EE1619">
        <w:rPr>
          <w:rFonts w:ascii="標楷體" w:eastAsia="標楷體" w:hAnsi="標楷體" w:hint="eastAsia"/>
          <w:sz w:val="18"/>
          <w:szCs w:val="18"/>
        </w:rPr>
        <w:t>20</w:t>
      </w:r>
      <w:r w:rsidRPr="00881BCD">
        <w:rPr>
          <w:rFonts w:ascii="標楷體" w:eastAsia="標楷體" w:hAnsi="標楷體" w:hint="eastAsia"/>
          <w:sz w:val="18"/>
          <w:szCs w:val="18"/>
        </w:rPr>
        <w:t>日105學年度第1學期第</w:t>
      </w:r>
      <w:r>
        <w:rPr>
          <w:rFonts w:ascii="標楷體" w:eastAsia="標楷體" w:hAnsi="標楷體" w:hint="eastAsia"/>
          <w:sz w:val="18"/>
          <w:szCs w:val="18"/>
        </w:rPr>
        <w:t>2</w:t>
      </w:r>
      <w:r w:rsidRPr="00881BCD">
        <w:rPr>
          <w:rFonts w:ascii="標楷體" w:eastAsia="標楷體" w:hAnsi="標楷體" w:hint="eastAsia"/>
          <w:sz w:val="18"/>
          <w:szCs w:val="18"/>
        </w:rPr>
        <w:t>次校務會議修正通過第</w:t>
      </w:r>
      <w:r w:rsidRPr="00881BCD">
        <w:rPr>
          <w:rFonts w:ascii="標楷體" w:eastAsia="標楷體" w:hAnsi="標楷體"/>
          <w:sz w:val="18"/>
          <w:szCs w:val="18"/>
        </w:rPr>
        <w:t>5</w:t>
      </w:r>
      <w:r w:rsidRPr="00881BCD">
        <w:rPr>
          <w:rFonts w:ascii="標楷體" w:eastAsia="標楷體" w:hAnsi="標楷體" w:hint="eastAsia"/>
          <w:sz w:val="18"/>
          <w:szCs w:val="18"/>
        </w:rPr>
        <w:t>點</w:t>
      </w:r>
    </w:p>
    <w:p w:rsidR="004A1BE2" w:rsidRPr="00881BCD" w:rsidRDefault="004A1BE2" w:rsidP="004A1BE2">
      <w:pPr>
        <w:jc w:val="right"/>
        <w:rPr>
          <w:rFonts w:ascii="標楷體" w:eastAsia="標楷體" w:hAnsi="標楷體"/>
          <w:sz w:val="32"/>
          <w:szCs w:val="32"/>
        </w:rPr>
      </w:pPr>
    </w:p>
    <w:p w:rsidR="0092383B" w:rsidRPr="00881BCD" w:rsidRDefault="0092383B" w:rsidP="0092383B">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一、本原則依本校教師聘任及升等審查辦法第19條規定訂定之。</w:t>
      </w:r>
    </w:p>
    <w:p w:rsidR="00F04F23" w:rsidRPr="00881BCD" w:rsidRDefault="0092383B" w:rsidP="00F04F23">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二、</w:t>
      </w:r>
      <w:r w:rsidR="00F04F23" w:rsidRPr="00881BCD">
        <w:rPr>
          <w:rFonts w:ascii="標楷體" w:eastAsia="標楷體" w:hAnsi="標楷體" w:cs="Times New Roman" w:hint="eastAsia"/>
          <w:szCs w:val="24"/>
        </w:rPr>
        <w:t>本校教師聘任審查分初審、複審、決審三級，分別由各級教師評審委員會審查，新聘教師若未具教育部核發同等級之教師證書者，須將其學術著作（含學位論文）、作品、成就證明、教學著作或技術報告辦理著作外審，其審查程序及通過標準如下</w:t>
      </w:r>
      <w:r w:rsidR="00F04F23" w:rsidRPr="00881BCD">
        <w:rPr>
          <w:rFonts w:ascii="標楷體" w:eastAsia="標楷體" w:hAnsi="標楷體" w:cs="Times New Roman"/>
          <w:szCs w:val="24"/>
        </w:rPr>
        <w:t>：</w:t>
      </w:r>
    </w:p>
    <w:p w:rsidR="00F04F23" w:rsidRPr="00881BCD" w:rsidRDefault="00F04F23" w:rsidP="00F04F2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（一）系（所、中心）審：</w:t>
      </w:r>
      <w:r w:rsidRPr="00881BCD">
        <w:rPr>
          <w:rFonts w:ascii="標楷體" w:eastAsia="標楷體" w:hAnsi="標楷體" w:cs="Times New Roman"/>
          <w:szCs w:val="24"/>
        </w:rPr>
        <w:t>各系（所</w:t>
      </w:r>
      <w:r w:rsidRPr="00881BCD">
        <w:rPr>
          <w:rFonts w:ascii="標楷體" w:eastAsia="標楷體" w:hAnsi="標楷體" w:cs="Times New Roman" w:hint="eastAsia"/>
          <w:szCs w:val="24"/>
        </w:rPr>
        <w:t>、中心</w:t>
      </w:r>
      <w:r w:rsidRPr="00881BCD">
        <w:rPr>
          <w:rFonts w:ascii="標楷體" w:eastAsia="標楷體" w:hAnsi="標楷體" w:cs="Times New Roman"/>
          <w:szCs w:val="24"/>
        </w:rPr>
        <w:t>）教評會</w:t>
      </w:r>
      <w:r w:rsidRPr="00881BCD">
        <w:rPr>
          <w:rFonts w:ascii="標楷體" w:eastAsia="標楷體" w:hAnsi="標楷體" w:cs="Times New Roman" w:hint="eastAsia"/>
          <w:szCs w:val="24"/>
        </w:rPr>
        <w:t>將其學術著作（含學位論文）、作品、成就證明、教學著作或技術報告，送請三位校外學者專家審查，並將外審成績結果送回各該系（所、中心）教評會初審，初審通過者，送院教評會複審。</w:t>
      </w:r>
    </w:p>
    <w:p w:rsidR="00F04F23" w:rsidRPr="00881BCD" w:rsidRDefault="00F04F23" w:rsidP="00F04F23">
      <w:pPr>
        <w:tabs>
          <w:tab w:val="left" w:pos="1134"/>
        </w:tabs>
        <w:ind w:leftChars="118" w:left="1003" w:hangingChars="300" w:hanging="720"/>
        <w:rPr>
          <w:rFonts w:ascii="標楷體" w:eastAsia="標楷體" w:hAnsi="標楷體" w:cs="Times New Roman"/>
          <w:szCs w:val="24"/>
        </w:rPr>
      </w:pPr>
      <w:r w:rsidRPr="00881BCD">
        <w:rPr>
          <w:rFonts w:ascii="標楷體" w:eastAsia="標楷體" w:hAnsi="標楷體" w:cs="Times New Roman" w:hint="eastAsia"/>
          <w:szCs w:val="24"/>
        </w:rPr>
        <w:t>（二）院審：院教評會將其學術著作（含學位論文）、作品、成就證明、教學著作或技術報告，送請三位校外學者專家審查，並將外審成績結果送回院教評會複審，複審通過者，送校教評會決審。</w:t>
      </w:r>
    </w:p>
    <w:p w:rsidR="00F04F23" w:rsidRPr="00881BCD" w:rsidRDefault="00F04F23" w:rsidP="00F04F23">
      <w:pPr>
        <w:tabs>
          <w:tab w:val="left" w:pos="1134"/>
        </w:tabs>
        <w:ind w:leftChars="236" w:left="566" w:firstLineChars="10" w:firstLine="24"/>
        <w:rPr>
          <w:rFonts w:ascii="標楷體" w:eastAsia="標楷體" w:hAnsi="標楷體" w:cs="Times New Roman"/>
          <w:szCs w:val="24"/>
        </w:rPr>
      </w:pPr>
      <w:r w:rsidRPr="00881BCD">
        <w:rPr>
          <w:rFonts w:ascii="標楷體" w:eastAsia="標楷體" w:hAnsi="標楷體" w:cs="Times New Roman" w:hint="eastAsia"/>
          <w:szCs w:val="24"/>
        </w:rPr>
        <w:t>教師聘任著作外審之各項基準，得由各系（所</w:t>
      </w:r>
      <w:r w:rsidRPr="00881BCD">
        <w:rPr>
          <w:rFonts w:ascii="新細明體" w:eastAsia="新細明體" w:hAnsi="新細明體" w:cs="Times New Roman" w:hint="eastAsia"/>
          <w:szCs w:val="24"/>
        </w:rPr>
        <w:t>、</w:t>
      </w:r>
      <w:r w:rsidRPr="00881BCD">
        <w:rPr>
          <w:rFonts w:ascii="標楷體" w:eastAsia="標楷體" w:hAnsi="標楷體" w:cs="Times New Roman" w:hint="eastAsia"/>
          <w:szCs w:val="24"/>
        </w:rPr>
        <w:t>中心）按本準則所訂審查基準(如附表一至四)另定之</w:t>
      </w:r>
      <w:r w:rsidRPr="00881BCD">
        <w:rPr>
          <w:rFonts w:ascii="新細明體" w:eastAsia="新細明體" w:hAnsi="新細明體" w:cs="Times New Roman" w:hint="eastAsia"/>
          <w:szCs w:val="24"/>
        </w:rPr>
        <w:t>。</w:t>
      </w:r>
    </w:p>
    <w:p w:rsidR="00F04F23" w:rsidRPr="00881BCD" w:rsidRDefault="00F04F23" w:rsidP="00F04F23">
      <w:pPr>
        <w:tabs>
          <w:tab w:val="left" w:pos="1134"/>
        </w:tabs>
        <w:ind w:leftChars="207" w:left="497"/>
        <w:rPr>
          <w:rFonts w:ascii="標楷體" w:eastAsia="標楷體" w:hAnsi="標楷體" w:cs="Times New Roman"/>
          <w:szCs w:val="24"/>
        </w:rPr>
      </w:pPr>
      <w:r w:rsidRPr="00881BCD">
        <w:rPr>
          <w:rFonts w:ascii="標楷體" w:eastAsia="標楷體" w:hAnsi="標楷體" w:cs="Times New Roman" w:hint="eastAsia"/>
          <w:szCs w:val="24"/>
        </w:rPr>
        <w:t>外審成績至少須有二名審查人評分達七十分以上且全部審查成績平均須達七十分以上，惟聘任為教授者，至少須有二名審查人評分達七十五分以上，且全部審查成績平均須達七十五分以上。</w:t>
      </w:r>
    </w:p>
    <w:p w:rsidR="0092383B" w:rsidRPr="00881BCD" w:rsidRDefault="0092383B" w:rsidP="00F04F23">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三、教師升等依送審類型分以下三類：</w:t>
      </w:r>
    </w:p>
    <w:p w:rsidR="0092383B" w:rsidRPr="00881BCD" w:rsidRDefault="0092383B" w:rsidP="0092383B">
      <w:pPr>
        <w:tabs>
          <w:tab w:val="left" w:pos="1134"/>
        </w:tabs>
        <w:ind w:leftChars="118" w:left="283"/>
        <w:rPr>
          <w:rFonts w:ascii="標楷體" w:eastAsia="標楷體" w:hAnsi="標楷體" w:cs="Times New Roman"/>
          <w:szCs w:val="24"/>
        </w:rPr>
      </w:pPr>
      <w:r w:rsidRPr="00881BCD">
        <w:rPr>
          <w:rFonts w:ascii="標楷體" w:eastAsia="標楷體" w:hAnsi="標楷體" w:cs="Times New Roman" w:hint="eastAsia"/>
          <w:szCs w:val="24"/>
        </w:rPr>
        <w:t>（一）學術著作（或作品、成就證明）升等。</w:t>
      </w:r>
    </w:p>
    <w:p w:rsidR="0092383B" w:rsidRPr="00881BCD" w:rsidRDefault="0092383B" w:rsidP="0092383B">
      <w:pPr>
        <w:tabs>
          <w:tab w:val="left" w:pos="1134"/>
        </w:tabs>
        <w:ind w:leftChars="118" w:left="283"/>
        <w:rPr>
          <w:rFonts w:ascii="標楷體" w:eastAsia="標楷體" w:hAnsi="標楷體" w:cs="Times New Roman"/>
          <w:szCs w:val="24"/>
        </w:rPr>
      </w:pPr>
      <w:r w:rsidRPr="00881BCD">
        <w:rPr>
          <w:rFonts w:ascii="標楷體" w:eastAsia="標楷體" w:hAnsi="標楷體" w:cs="Times New Roman" w:hint="eastAsia"/>
          <w:szCs w:val="24"/>
        </w:rPr>
        <w:t>（二）教學著作升等。</w:t>
      </w:r>
    </w:p>
    <w:p w:rsidR="0092383B" w:rsidRPr="00881BCD" w:rsidRDefault="0092383B" w:rsidP="0092383B">
      <w:pPr>
        <w:tabs>
          <w:tab w:val="left" w:pos="1134"/>
        </w:tabs>
        <w:ind w:leftChars="118" w:left="283"/>
        <w:rPr>
          <w:rFonts w:ascii="標楷體" w:eastAsia="標楷體" w:hAnsi="標楷體" w:cs="Times New Roman"/>
          <w:szCs w:val="24"/>
        </w:rPr>
      </w:pPr>
      <w:r w:rsidRPr="00881BCD">
        <w:rPr>
          <w:rFonts w:ascii="標楷體" w:eastAsia="標楷體" w:hAnsi="標楷體" w:cs="Times New Roman" w:hint="eastAsia"/>
          <w:szCs w:val="24"/>
        </w:rPr>
        <w:t>（三）技術報告升等</w:t>
      </w:r>
      <w:r w:rsidR="00EB3487" w:rsidRPr="00881BCD">
        <w:rPr>
          <w:rFonts w:ascii="標楷體" w:eastAsia="標楷體" w:hAnsi="標楷體" w:cs="Times New Roman" w:hint="eastAsia"/>
          <w:szCs w:val="24"/>
        </w:rPr>
        <w:t>。</w:t>
      </w:r>
    </w:p>
    <w:p w:rsidR="0092383B" w:rsidRPr="00881BCD" w:rsidRDefault="0092383B" w:rsidP="0092383B">
      <w:pPr>
        <w:tabs>
          <w:tab w:val="left" w:pos="1134"/>
        </w:tabs>
        <w:ind w:leftChars="236" w:left="566"/>
        <w:rPr>
          <w:rFonts w:ascii="標楷體" w:eastAsia="標楷體" w:hAnsi="標楷體" w:cs="Times New Roman"/>
          <w:szCs w:val="24"/>
        </w:rPr>
      </w:pPr>
      <w:r w:rsidRPr="00881BCD">
        <w:rPr>
          <w:rFonts w:ascii="標楷體" w:eastAsia="標楷體" w:hAnsi="標楷體" w:cs="Times New Roman" w:hint="eastAsia"/>
          <w:szCs w:val="24"/>
        </w:rPr>
        <w:t>教師升等應達各類型升等之審查基準(如附表一至附表五)外，並應達到所屬系（所、中心）升等門檻。</w:t>
      </w:r>
    </w:p>
    <w:p w:rsidR="00392B13" w:rsidRPr="00881BCD" w:rsidRDefault="0092383B" w:rsidP="00392B13">
      <w:pPr>
        <w:tabs>
          <w:tab w:val="left" w:pos="1134"/>
        </w:tabs>
        <w:ind w:left="499" w:hangingChars="208" w:hanging="499"/>
        <w:rPr>
          <w:rFonts w:ascii="標楷體" w:eastAsia="標楷體" w:hAnsi="標楷體" w:cs="Times New Roman"/>
          <w:szCs w:val="24"/>
        </w:rPr>
      </w:pPr>
      <w:r w:rsidRPr="00881BCD">
        <w:rPr>
          <w:rFonts w:ascii="標楷體" w:eastAsia="標楷體" w:hAnsi="標楷體" w:cs="Times New Roman" w:hint="eastAsia"/>
          <w:szCs w:val="24"/>
        </w:rPr>
        <w:t>四</w:t>
      </w:r>
      <w:r w:rsidRPr="00881BCD">
        <w:rPr>
          <w:rFonts w:ascii="新細明體" w:eastAsia="新細明體" w:hAnsi="新細明體" w:cs="Times New Roman" w:hint="eastAsia"/>
          <w:szCs w:val="24"/>
        </w:rPr>
        <w:t>、</w:t>
      </w:r>
      <w:r w:rsidR="00392B13" w:rsidRPr="00881BCD">
        <w:rPr>
          <w:rFonts w:ascii="標楷體" w:eastAsia="標楷體" w:hAnsi="標楷體" w:cs="Times New Roman" w:hint="eastAsia"/>
          <w:szCs w:val="24"/>
        </w:rPr>
        <w:t>本校教師升等審查分初審、複審、決審三級，分別由各級教師評審委員會審查，其審查程序如下：</w:t>
      </w:r>
    </w:p>
    <w:p w:rsidR="00392B13" w:rsidRPr="00881BCD" w:rsidRDefault="00392B13" w:rsidP="00392B1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（一）系（所、中心）審：</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1.</w:t>
      </w:r>
      <w:r w:rsidRPr="00881BCD">
        <w:rPr>
          <w:rFonts w:ascii="標楷體" w:eastAsia="標楷體" w:hAnsi="標楷體" w:hint="eastAsia"/>
          <w:szCs w:val="24"/>
        </w:rPr>
        <w:t xml:space="preserve"> 升等申請人應於五月十五日前依本校升等教師提送系（所、中心）教評會審查應繳證件清單，備齊升等應檢具文件，送交系(所</w:t>
      </w:r>
      <w:r w:rsidRPr="00881BCD">
        <w:rPr>
          <w:rFonts w:ascii="新細明體" w:hAnsi="新細明體" w:hint="eastAsia"/>
          <w:szCs w:val="24"/>
        </w:rPr>
        <w:t>、</w:t>
      </w:r>
      <w:r w:rsidRPr="00881BCD">
        <w:rPr>
          <w:rFonts w:ascii="標楷體" w:eastAsia="標楷體" w:hAnsi="標楷體" w:hint="eastAsia"/>
          <w:szCs w:val="24"/>
        </w:rPr>
        <w:t>中心)教評會審查</w:t>
      </w:r>
      <w:r w:rsidRPr="00881BCD">
        <w:rPr>
          <w:rFonts w:ascii="新細明體" w:hAnsi="新細明體" w:hint="eastAsia"/>
          <w:szCs w:val="24"/>
        </w:rPr>
        <w:t>，</w:t>
      </w:r>
      <w:r w:rsidRPr="00881BCD">
        <w:rPr>
          <w:rFonts w:ascii="標楷體" w:eastAsia="標楷體" w:hAnsi="標楷體" w:hint="eastAsia"/>
          <w:szCs w:val="24"/>
        </w:rPr>
        <w:t>逾期不予受理或補(抽)件。</w:t>
      </w:r>
      <w:r w:rsidRPr="00881BCD">
        <w:rPr>
          <w:rFonts w:ascii="標楷體" w:eastAsia="標楷體" w:hAnsi="標楷體" w:cs="Times New Roman" w:hint="eastAsia"/>
          <w:szCs w:val="24"/>
        </w:rPr>
        <w:t>系（所、中心）教評會應對申請人之升等資格條件、研究、教學、服務（對本校或學界、社會）等方面進行審查，並成立著作審查小組，辦理著作外審相關事宜。</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t>(1)教師以學術著作（或作品、成就證明）或技術報告升等者，應俟「教學」及「服務」成績經系（所、中心）教評會評核通過後，再送交著作審查。</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lastRenderedPageBreak/>
        <w:t>(2)教師以教學著作升等者，應俟「研究」及「服務」成績經系（所、中心）教評會評核通過後，再送交著作審查。</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2.各系（所、中心）得依本原則附表一至附表五，另訂更嚴格之審查基準。</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3.系級教評會得視需要安排升等教師公開宣講，並邀請系教評會委員參與。</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4.教師申請升等後，於系（所、中心）辦理著作送外審前，申請人得以書面撤回其升等申請。未於上開期間申請撤回升等者，不予受理。</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5.經系（所、中心）教評會出席委員三分之二以上同意通過後，各系（所、中心）應於每年七月二十五日前將審查通過者之所有資料及該會審查之結果與意見送院教評會審查。</w:t>
      </w:r>
    </w:p>
    <w:p w:rsidR="00392B13" w:rsidRPr="00881BCD" w:rsidRDefault="00392B13" w:rsidP="00392B1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(二)院審：</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1.院於接到各系（所、中心）之審查結果、有關資料與意見後，應於三週內召開院教評會，並成立著作審查作業小組，依所訂定之各學院教師聘任及升等審查要點審議各系（所、中心）之送審資料。</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t>(1)教師以學術著作（作品、成就證明）或技術報告升等者，應俟「教學」及「服務」成績評核通過後，再送交著作審查。</w:t>
      </w:r>
    </w:p>
    <w:p w:rsidR="00392B13" w:rsidRPr="00881BCD" w:rsidRDefault="00392B13" w:rsidP="00392B13">
      <w:pPr>
        <w:ind w:leftChars="354" w:left="1210" w:hangingChars="150" w:hanging="360"/>
        <w:rPr>
          <w:rFonts w:ascii="標楷體" w:eastAsia="標楷體" w:hAnsi="標楷體" w:cs="Times New Roman"/>
          <w:szCs w:val="24"/>
        </w:rPr>
      </w:pPr>
      <w:r w:rsidRPr="00881BCD">
        <w:rPr>
          <w:rFonts w:ascii="標楷體" w:eastAsia="標楷體" w:hAnsi="標楷體" w:cs="Times New Roman" w:hint="eastAsia"/>
          <w:szCs w:val="24"/>
        </w:rPr>
        <w:t>(2)教師以教學著作升等者，應先俟「研究」及「服務」成績評核通過後，再送交著作審查。</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2.院級教評會得視需要安排升等教師公開宣講，並邀請院教評會委員參與。</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3.</w:t>
      </w:r>
      <w:r w:rsidR="00F04F23" w:rsidRPr="00881BCD">
        <w:rPr>
          <w:rFonts w:ascii="標楷體" w:eastAsia="標楷體" w:hAnsi="標楷體" w:cs="Times New Roman" w:hint="eastAsia"/>
          <w:szCs w:val="24"/>
        </w:rPr>
        <w:t>經院教評會出席委員三分之二</w:t>
      </w:r>
      <w:r w:rsidRPr="00881BCD">
        <w:rPr>
          <w:rFonts w:ascii="標楷體" w:eastAsia="標楷體" w:hAnsi="標楷體" w:cs="Times New Roman" w:hint="eastAsia"/>
          <w:szCs w:val="24"/>
        </w:rPr>
        <w:t>以上同意通過後，於每年十月十五日前將審查通過者之所有資料及系（所、中心）、院教評會審查之結果與意見送人事室，提交校教評會審查。</w:t>
      </w:r>
    </w:p>
    <w:p w:rsidR="00392B13" w:rsidRPr="00881BCD" w:rsidRDefault="00392B13" w:rsidP="00392B13">
      <w:pPr>
        <w:tabs>
          <w:tab w:val="left" w:pos="1134"/>
        </w:tabs>
        <w:ind w:leftChars="117" w:left="1001" w:hangingChars="300" w:hanging="720"/>
        <w:rPr>
          <w:rFonts w:ascii="標楷體" w:eastAsia="標楷體" w:hAnsi="標楷體" w:cs="Times New Roman"/>
          <w:szCs w:val="24"/>
        </w:rPr>
      </w:pPr>
      <w:r w:rsidRPr="00881BCD">
        <w:rPr>
          <w:rFonts w:ascii="標楷體" w:eastAsia="標楷體" w:hAnsi="標楷體" w:cs="Times New Roman" w:hint="eastAsia"/>
          <w:szCs w:val="24"/>
        </w:rPr>
        <w:t>(三)校審：</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1.人事室將各院提交之教師升等資料簽會教務處核轉校長同意後，提交校教評會，並於每年十一月底前進行最後審查。</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2.校教評會必要時得邀請升等人專題演講或面談。</w:t>
      </w:r>
    </w:p>
    <w:p w:rsidR="00392B13" w:rsidRPr="00881BCD" w:rsidRDefault="00392B13" w:rsidP="00392B13">
      <w:pPr>
        <w:ind w:leftChars="320" w:left="1008" w:hangingChars="100" w:hanging="240"/>
        <w:rPr>
          <w:rFonts w:ascii="標楷體" w:eastAsia="標楷體" w:hAnsi="標楷體" w:cs="Times New Roman"/>
          <w:szCs w:val="24"/>
        </w:rPr>
      </w:pPr>
      <w:r w:rsidRPr="00881BCD">
        <w:rPr>
          <w:rFonts w:ascii="標楷體" w:eastAsia="標楷體" w:hAnsi="標楷體" w:cs="Times New Roman" w:hint="eastAsia"/>
          <w:szCs w:val="24"/>
        </w:rPr>
        <w:t>3.經校教評會出席委員過半數之同意通過升等者，送人事室簽請校長核定後，報請教育部核備及核發教師證書。</w:t>
      </w:r>
    </w:p>
    <w:p w:rsidR="00392B13" w:rsidRPr="00881BCD" w:rsidRDefault="00392B13" w:rsidP="00392B13">
      <w:pPr>
        <w:tabs>
          <w:tab w:val="left" w:pos="1134"/>
        </w:tabs>
        <w:ind w:leftChars="207" w:left="497" w:firstLineChars="87" w:firstLine="209"/>
        <w:rPr>
          <w:rFonts w:ascii="標楷體" w:eastAsia="標楷體" w:hAnsi="標楷體" w:cs="Times New Roman"/>
          <w:szCs w:val="24"/>
        </w:rPr>
      </w:pPr>
      <w:r w:rsidRPr="00881BCD">
        <w:rPr>
          <w:rFonts w:ascii="標楷體" w:eastAsia="標楷體" w:hAnsi="標楷體" w:cs="Times New Roman" w:hint="eastAsia"/>
          <w:szCs w:val="24"/>
        </w:rPr>
        <w:t>4.核備期間仍以原職任教，俟教育部核復並取得教師證書後再補發聘書及薪資差額。</w:t>
      </w:r>
    </w:p>
    <w:p w:rsidR="00AF4E86" w:rsidRPr="00881BCD" w:rsidRDefault="00AF4E86" w:rsidP="00AF4E86">
      <w:pPr>
        <w:tabs>
          <w:tab w:val="left" w:pos="1134"/>
        </w:tabs>
        <w:ind w:left="499" w:hangingChars="208" w:hanging="499"/>
        <w:jc w:val="both"/>
        <w:rPr>
          <w:rFonts w:ascii="標楷體" w:eastAsia="標楷體" w:hAnsi="標楷體" w:cs="Times New Roman"/>
          <w:szCs w:val="24"/>
        </w:rPr>
      </w:pPr>
      <w:r w:rsidRPr="00881BCD">
        <w:rPr>
          <w:rFonts w:ascii="標楷體" w:eastAsia="標楷體" w:hAnsi="標楷體" w:cs="Times New Roman" w:hint="eastAsia"/>
          <w:szCs w:val="24"/>
        </w:rPr>
        <w:t>五、教師升等評審項目按不同升等類型，其配分標準、各評審項目採計年資、評審內容及外審成績通過標準，說明如下（如附表六）：</w:t>
      </w:r>
    </w:p>
    <w:p w:rsidR="00AF4E86" w:rsidRPr="00881BCD" w:rsidRDefault="00AF4E86" w:rsidP="00AF4E86">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（一）學術著作(或作品、成就證明)</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（2）教學：百分之三十。</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AF4E86" w:rsidRPr="00881BCD" w:rsidRDefault="00AF4E86" w:rsidP="00AF4E86">
      <w:pPr>
        <w:ind w:leftChars="353" w:left="1130" w:hangingChars="118" w:hanging="283"/>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（1）研究：分為A1外審成績，（占百分之七十至百分之八十）及A2.非外審成績（占</w:t>
      </w:r>
      <w:r w:rsidRPr="00881BCD">
        <w:rPr>
          <w:rFonts w:ascii="標楷體" w:eastAsia="標楷體" w:hAnsi="標楷體" w:cs="Times New Roman" w:hint="eastAsia"/>
          <w:szCs w:val="24"/>
        </w:rPr>
        <w:lastRenderedPageBreak/>
        <w:t>百分之二十至百分之三十）二項。</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外審成績：學術著作。</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AF4E86" w:rsidRPr="00881BCD" w:rsidRDefault="00AF4E86" w:rsidP="00AF4E86">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C97BEB" w:rsidRDefault="00881BCD" w:rsidP="00C97BEB">
      <w:pPr>
        <w:tabs>
          <w:tab w:val="left" w:pos="1134"/>
        </w:tabs>
        <w:ind w:leftChars="354" w:left="1090" w:hangingChars="100" w:hanging="240"/>
        <w:rPr>
          <w:rFonts w:ascii="標楷體" w:eastAsia="標楷體" w:hAnsi="標楷體" w:cs="Times New Roman"/>
          <w:szCs w:val="24"/>
        </w:rPr>
      </w:pPr>
      <w:r w:rsidRPr="00881BCD">
        <w:rPr>
          <w:rFonts w:ascii="標楷體" w:eastAsia="標楷體" w:hAnsi="標楷體" w:cs="Times New Roman" w:hint="eastAsia"/>
          <w:szCs w:val="24"/>
        </w:rPr>
        <w:t>5.</w:t>
      </w:r>
      <w:r w:rsidR="00C97BEB" w:rsidRPr="00C97BEB">
        <w:rPr>
          <w:rFonts w:hint="eastAsia"/>
        </w:rPr>
        <w:t xml:space="preserve"> </w:t>
      </w:r>
      <w:r w:rsidR="00C97BEB" w:rsidRPr="00C97BEB">
        <w:rPr>
          <w:rFonts w:ascii="標楷體" w:eastAsia="標楷體" w:hAnsi="標楷體" w:cs="Times New Roman" w:hint="eastAsia"/>
          <w:szCs w:val="24"/>
        </w:rPr>
        <w:t>總成績通過標準：「研究」、「教學」及「服務」等三項成績均應分別達七十分以上，且總成績達七十分以上，惟升等為教授者，其「研究」成績應達七十五分以上（各項分項成績及總成績均計至小數點以下第一位，以下四捨五入）</w:t>
      </w:r>
    </w:p>
    <w:p w:rsidR="00AF4E86" w:rsidRPr="00881BCD" w:rsidRDefault="00AF4E86" w:rsidP="00C97BEB">
      <w:pPr>
        <w:tabs>
          <w:tab w:val="left" w:pos="1134"/>
        </w:tabs>
        <w:ind w:leftChars="119" w:left="1090" w:hangingChars="335" w:hanging="804"/>
        <w:rPr>
          <w:rFonts w:ascii="標楷體" w:eastAsia="標楷體" w:hAnsi="標楷體" w:cs="Times New Roman"/>
          <w:szCs w:val="24"/>
        </w:rPr>
      </w:pPr>
      <w:r w:rsidRPr="00881BCD">
        <w:rPr>
          <w:rFonts w:ascii="標楷體" w:eastAsia="標楷體" w:hAnsi="標楷體" w:cs="Times New Roman" w:hint="eastAsia"/>
          <w:szCs w:val="24"/>
        </w:rPr>
        <w:t>（二）教學著作</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（1）研究：百分之三十。</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（2）教學：百分之五十五。</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（1）研究：「研究計畫獎助、產學合作及其他學術研究成果」，分Aa及Ab二項，Aa占百分之二十五，Ab占百分之七十五。</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（2）教學：分為B1外審成績（占百分之七十至百分之八十）及B2非外審成績（占百分之二十至百分之三十）二項。</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外審成績：教學著作</w:t>
      </w:r>
      <w:r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含教學實務報告</w:t>
      </w:r>
      <w:r w:rsidRPr="00881BCD">
        <w:rPr>
          <w:rFonts w:ascii="Cambria Math" w:eastAsia="標楷體" w:hAnsi="Cambria Math" w:cs="Cambria Math" w:hint="eastAsia"/>
          <w:szCs w:val="24"/>
        </w:rPr>
        <w:t>)</w:t>
      </w:r>
      <w:r w:rsidRPr="00881BCD">
        <w:rPr>
          <w:rFonts w:ascii="Cambria Math" w:eastAsia="標楷體" w:hAnsi="Cambria Math" w:cs="Cambria Math" w:hint="eastAsia"/>
          <w:szCs w:val="24"/>
        </w:rPr>
        <w:t>。</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非外審成績：分為「教學績效」、「教學改進」、「課業輔導」、「綜合考評」等四項。</w:t>
      </w:r>
    </w:p>
    <w:p w:rsidR="00AF4E86" w:rsidRPr="00881BCD" w:rsidRDefault="00AF4E86" w:rsidP="00AF4E86">
      <w:pPr>
        <w:ind w:leftChars="354" w:left="1450" w:hangingChars="250" w:hanging="600"/>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審查人審查，至少須有二名審查人評分達七十分以上且全部審查成績平均須達七十分以上，惟升等教授者，至少須有二名審查人評分達七十五分以上，且全部審查成績平均須達七十五分以上。</w:t>
      </w:r>
    </w:p>
    <w:p w:rsidR="008652B3" w:rsidRPr="00881BCD" w:rsidRDefault="008652B3" w:rsidP="00C97BEB">
      <w:pPr>
        <w:tabs>
          <w:tab w:val="left" w:pos="1134"/>
        </w:tabs>
        <w:ind w:leftChars="296" w:left="1089" w:hangingChars="158" w:hanging="379"/>
        <w:rPr>
          <w:rFonts w:ascii="標楷體" w:eastAsia="標楷體" w:hAnsi="標楷體" w:cs="Times New Roman"/>
          <w:szCs w:val="24"/>
          <w:u w:val="single"/>
        </w:rPr>
      </w:pPr>
      <w:r w:rsidRPr="00881BCD">
        <w:rPr>
          <w:rFonts w:ascii="標楷體" w:eastAsia="標楷體" w:hAnsi="標楷體" w:cs="Times New Roman" w:hint="eastAsia"/>
          <w:szCs w:val="24"/>
        </w:rPr>
        <w:t>5.</w:t>
      </w:r>
      <w:r w:rsidR="00C97BEB" w:rsidRPr="00C97BEB">
        <w:rPr>
          <w:rFonts w:ascii="標楷體" w:eastAsia="標楷體" w:hAnsi="標楷體" w:cs="Times New Roman" w:hint="eastAsia"/>
          <w:szCs w:val="24"/>
        </w:rPr>
        <w:t>總成績通過標準：「研究」、「教學」及「服務」等三項成績均應分別達七十分以上，且總成績達七十分以上，惟升等為教授者，其「</w:t>
      </w:r>
      <w:r w:rsidR="00C97BEB">
        <w:rPr>
          <w:rFonts w:ascii="標楷體" w:eastAsia="標楷體" w:hAnsi="標楷體" w:cs="Times New Roman" w:hint="eastAsia"/>
          <w:szCs w:val="24"/>
        </w:rPr>
        <w:t>教學</w:t>
      </w:r>
      <w:r w:rsidR="00C97BEB" w:rsidRPr="00C97BEB">
        <w:rPr>
          <w:rFonts w:ascii="標楷體" w:eastAsia="標楷體" w:hAnsi="標楷體" w:cs="Times New Roman" w:hint="eastAsia"/>
          <w:szCs w:val="24"/>
        </w:rPr>
        <w:t>」成績應達七十五分以上（各項分項成績及總成績均計至小數點以下第一位，以下四捨五入）</w:t>
      </w:r>
    </w:p>
    <w:p w:rsidR="00AF4E86" w:rsidRPr="00881BCD" w:rsidRDefault="00AF4E86" w:rsidP="00AF4E86">
      <w:pPr>
        <w:tabs>
          <w:tab w:val="left" w:pos="1134"/>
        </w:tabs>
        <w:ind w:leftChars="118" w:left="1003" w:hangingChars="300" w:hanging="720"/>
        <w:jc w:val="both"/>
        <w:rPr>
          <w:rFonts w:ascii="標楷體" w:eastAsia="標楷體" w:hAnsi="標楷體" w:cs="Times New Roman"/>
          <w:szCs w:val="24"/>
        </w:rPr>
      </w:pPr>
      <w:r w:rsidRPr="00881BCD">
        <w:rPr>
          <w:rFonts w:ascii="標楷體" w:eastAsia="標楷體" w:hAnsi="標楷體" w:cs="Times New Roman" w:hint="eastAsia"/>
          <w:szCs w:val="24"/>
        </w:rPr>
        <w:t xml:space="preserve">（三）技術報告 </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1.升等評審配分標準：</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（1）研究：百分之五十五。</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lastRenderedPageBreak/>
        <w:t>（2）教學：百分之三十。</w:t>
      </w:r>
    </w:p>
    <w:p w:rsidR="00AF4E86" w:rsidRPr="00881BCD" w:rsidRDefault="00AF4E86" w:rsidP="00AF4E86">
      <w:pPr>
        <w:ind w:leftChars="354" w:left="1210" w:hangingChars="150" w:hanging="360"/>
        <w:jc w:val="both"/>
        <w:rPr>
          <w:rFonts w:ascii="標楷體" w:eastAsia="標楷體" w:hAnsi="標楷體" w:cs="Times New Roman"/>
          <w:szCs w:val="24"/>
        </w:rPr>
      </w:pPr>
      <w:r w:rsidRPr="00881BCD">
        <w:rPr>
          <w:rFonts w:ascii="標楷體" w:eastAsia="標楷體" w:hAnsi="標楷體" w:cs="Times New Roman" w:hint="eastAsia"/>
          <w:szCs w:val="24"/>
        </w:rPr>
        <w:t>（3）服務：百分之十五。</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2.升等評審項目採計範圍：「研究」、「教學」及「服務」等三項成績採計範圍均為取得前一等級教師資格後之成績。</w:t>
      </w:r>
    </w:p>
    <w:p w:rsidR="00AF4E86" w:rsidRPr="00881BCD" w:rsidRDefault="00AF4E86" w:rsidP="00AF4E86">
      <w:pPr>
        <w:ind w:leftChars="320" w:left="1008"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3.升等評審內容：</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（1）研究：分為A1外審成績，（占百分之七十至百分之八十）及A2.非外審成績（占百分之二十至百分之三十）二項。</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①</w:t>
      </w:r>
      <w:r w:rsidRPr="00881BCD">
        <w:rPr>
          <w:rFonts w:ascii="Cambria Math" w:eastAsia="標楷體" w:hAnsi="Cambria Math" w:cs="Cambria Math" w:hint="eastAsia"/>
          <w:szCs w:val="24"/>
        </w:rPr>
        <w:t>外審成績：技術報告。</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②</w:t>
      </w:r>
      <w:r w:rsidRPr="00881BCD">
        <w:rPr>
          <w:rFonts w:ascii="Cambria Math" w:eastAsia="標楷體" w:hAnsi="Cambria Math" w:cs="Cambria Math" w:hint="eastAsia"/>
          <w:szCs w:val="24"/>
        </w:rPr>
        <w:t>非外審成績：「研究計畫獎助、產學合作及其他學術研究成果」：分</w:t>
      </w:r>
      <w:r w:rsidRPr="00881BCD">
        <w:rPr>
          <w:rFonts w:ascii="Cambria Math" w:eastAsia="標楷體" w:hAnsi="Cambria Math" w:cs="Cambria Math"/>
          <w:szCs w:val="24"/>
        </w:rPr>
        <w:t>Aa</w:t>
      </w:r>
      <w:r w:rsidRPr="00881BCD">
        <w:rPr>
          <w:rFonts w:ascii="Cambria Math" w:eastAsia="標楷體" w:hAnsi="Cambria Math" w:cs="Cambria Math" w:hint="eastAsia"/>
          <w:szCs w:val="24"/>
        </w:rPr>
        <w:t>及</w:t>
      </w:r>
      <w:r w:rsidRPr="00881BCD">
        <w:rPr>
          <w:rFonts w:ascii="Cambria Math" w:eastAsia="標楷體" w:hAnsi="Cambria Math" w:cs="Cambria Math"/>
          <w:szCs w:val="24"/>
        </w:rPr>
        <w:t>Ab</w:t>
      </w:r>
      <w:r w:rsidRPr="00881BCD">
        <w:rPr>
          <w:rFonts w:ascii="Cambria Math" w:eastAsia="標楷體" w:hAnsi="Cambria Math" w:cs="Cambria Math" w:hint="eastAsia"/>
          <w:szCs w:val="24"/>
        </w:rPr>
        <w:t>二項，各占百分之五十。</w:t>
      </w:r>
    </w:p>
    <w:p w:rsidR="00AF4E86" w:rsidRPr="00881BCD" w:rsidRDefault="00AF4E86" w:rsidP="00AF4E86">
      <w:pPr>
        <w:ind w:leftChars="500" w:left="1488" w:hangingChars="120" w:hanging="288"/>
        <w:jc w:val="both"/>
        <w:rPr>
          <w:rFonts w:ascii="Cambria Math" w:eastAsia="標楷體" w:hAnsi="Cambria Math" w:cs="Cambria Math" w:hint="eastAsia"/>
          <w:szCs w:val="24"/>
        </w:rPr>
      </w:pPr>
      <w:r w:rsidRPr="00881BCD">
        <w:rPr>
          <w:rFonts w:ascii="Cambria Math" w:eastAsia="標楷體" w:hAnsi="Cambria Math" w:cs="Cambria Math"/>
          <w:szCs w:val="24"/>
        </w:rPr>
        <w:t>③</w:t>
      </w:r>
      <w:r w:rsidRPr="00881BCD">
        <w:rPr>
          <w:rFonts w:ascii="Cambria Math" w:eastAsia="標楷體" w:hAnsi="Cambria Math" w:cs="Cambria Math" w:hint="eastAsia"/>
          <w:szCs w:val="24"/>
        </w:rPr>
        <w:t>代表作及參考作已列入外審研究之評分，不得再重複列入研究計畫獎助、產學合作及其他學術研究成果評分。</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（2）教學：分為「教學績效」、「教學改進」、「課業輔導」、「綜合考評」等四項。</w:t>
      </w:r>
    </w:p>
    <w:p w:rsidR="00AF4E86" w:rsidRPr="00881BCD" w:rsidRDefault="00AF4E86" w:rsidP="00AF4E86">
      <w:pPr>
        <w:ind w:leftChars="354" w:left="1402" w:hangingChars="230" w:hanging="552"/>
        <w:jc w:val="both"/>
        <w:rPr>
          <w:rFonts w:ascii="標楷體" w:eastAsia="標楷體" w:hAnsi="標楷體" w:cs="Times New Roman"/>
          <w:szCs w:val="24"/>
        </w:rPr>
      </w:pPr>
      <w:r w:rsidRPr="00881BCD">
        <w:rPr>
          <w:rFonts w:ascii="標楷體" w:eastAsia="標楷體" w:hAnsi="標楷體" w:cs="Times New Roman" w:hint="eastAsia"/>
          <w:szCs w:val="24"/>
        </w:rPr>
        <w:t>（3）服務：分為「專業服務」、「行政服務」、「輔導服務」、「綜合考評」等四項。</w:t>
      </w:r>
    </w:p>
    <w:p w:rsidR="00AF4E86" w:rsidRPr="00881BCD" w:rsidRDefault="00AF4E86" w:rsidP="00AF4E86">
      <w:pPr>
        <w:ind w:leftChars="353" w:left="1087" w:hangingChars="100" w:hanging="240"/>
        <w:jc w:val="both"/>
        <w:rPr>
          <w:rFonts w:ascii="標楷體" w:eastAsia="標楷體" w:hAnsi="標楷體" w:cs="Times New Roman"/>
          <w:szCs w:val="24"/>
        </w:rPr>
      </w:pPr>
      <w:r w:rsidRPr="00881BCD">
        <w:rPr>
          <w:rFonts w:ascii="標楷體" w:eastAsia="標楷體" w:hAnsi="標楷體" w:cs="Times New Roman" w:hint="eastAsia"/>
          <w:szCs w:val="24"/>
        </w:rPr>
        <w:t>4.外審成績通過標準：送請三位校外學者專家審查，至少須有二名審查人評分達七十分以上且全部審查成績平均須達七十分以上，惟升等教授者，至少須有二名審查人評分達七十五分以上，且全部審查成績平均須達七十五分以上。</w:t>
      </w:r>
    </w:p>
    <w:p w:rsidR="0092383B" w:rsidRPr="00881BCD" w:rsidRDefault="001339D3" w:rsidP="001339D3">
      <w:pPr>
        <w:tabs>
          <w:tab w:val="left" w:pos="1134"/>
        </w:tabs>
        <w:ind w:leftChars="354" w:left="1090" w:hangingChars="100" w:hanging="240"/>
        <w:rPr>
          <w:rFonts w:ascii="標楷體" w:eastAsia="標楷體" w:hAnsi="標楷體" w:cs="Times New Roman"/>
          <w:szCs w:val="24"/>
        </w:rPr>
      </w:pPr>
      <w:r w:rsidRPr="001339D3">
        <w:rPr>
          <w:rFonts w:ascii="標楷體" w:eastAsia="標楷體" w:hAnsi="標楷體" w:cs="Times New Roman" w:hint="eastAsia"/>
          <w:szCs w:val="24"/>
        </w:rPr>
        <w:t>5.總成績通過標準：「研究」、「教學」及「服務」等三項成績均應分別達七十分以上，且總成績達七十分以上，惟升等為教授者，其「</w:t>
      </w:r>
      <w:r>
        <w:rPr>
          <w:rFonts w:ascii="標楷體" w:eastAsia="標楷體" w:hAnsi="標楷體" w:cs="Times New Roman" w:hint="eastAsia"/>
          <w:szCs w:val="24"/>
        </w:rPr>
        <w:t>研究</w:t>
      </w:r>
      <w:r w:rsidRPr="001339D3">
        <w:rPr>
          <w:rFonts w:ascii="標楷體" w:eastAsia="標楷體" w:hAnsi="標楷體" w:cs="Times New Roman" w:hint="eastAsia"/>
          <w:szCs w:val="24"/>
        </w:rPr>
        <w:t>」成績應達七十五分以上（各項分項成績及總成績均計至小數點以下第一位，以下四捨五入）</w:t>
      </w:r>
      <w:r w:rsidR="0092383B" w:rsidRPr="00881BCD">
        <w:rPr>
          <w:rFonts w:ascii="標楷體" w:eastAsia="標楷體" w:hAnsi="標楷體" w:cs="Times New Roman" w:hint="eastAsia"/>
          <w:szCs w:val="24"/>
        </w:rPr>
        <w:t>六、教師升等之代表作(學術著作、教學著作、作品、成就證明、技術報告)限以本校名義發表；參考作應至少一篇以本校名義發表。</w:t>
      </w:r>
    </w:p>
    <w:p w:rsidR="0092383B" w:rsidRPr="00881BCD" w:rsidRDefault="0092383B" w:rsidP="0092383B">
      <w:pPr>
        <w:tabs>
          <w:tab w:val="left" w:pos="1134"/>
        </w:tabs>
        <w:ind w:left="497" w:hangingChars="207" w:hanging="497"/>
        <w:rPr>
          <w:rFonts w:ascii="標楷體" w:eastAsia="標楷體" w:hAnsi="標楷體" w:cs="Times New Roman"/>
          <w:szCs w:val="24"/>
        </w:rPr>
      </w:pPr>
      <w:r w:rsidRPr="00881BCD">
        <w:rPr>
          <w:rFonts w:ascii="標楷體" w:eastAsia="標楷體" w:hAnsi="標楷體" w:cs="Times New Roman" w:hint="eastAsia"/>
          <w:szCs w:val="24"/>
        </w:rPr>
        <w:t>七、教師升等評分依國立嘉義大學教師升等評分表（如附表七至十二）評定。</w:t>
      </w:r>
    </w:p>
    <w:p w:rsidR="0092383B" w:rsidRPr="00881BCD" w:rsidRDefault="0092383B" w:rsidP="0092383B">
      <w:pPr>
        <w:tabs>
          <w:tab w:val="left" w:pos="1134"/>
        </w:tabs>
        <w:ind w:left="497" w:hangingChars="207" w:hanging="497"/>
        <w:rPr>
          <w:rFonts w:ascii="新細明體" w:eastAsia="新細明體" w:hAnsi="新細明體" w:cs="Times New Roman"/>
          <w:szCs w:val="24"/>
        </w:rPr>
      </w:pPr>
      <w:r w:rsidRPr="00881BCD">
        <w:rPr>
          <w:rFonts w:ascii="標楷體" w:eastAsia="標楷體" w:hAnsi="標楷體" w:cs="Times New Roman" w:hint="eastAsia"/>
          <w:szCs w:val="24"/>
        </w:rPr>
        <w:t>八</w:t>
      </w:r>
      <w:r w:rsidRPr="00881BCD">
        <w:rPr>
          <w:rFonts w:ascii="新細明體" w:eastAsia="新細明體" w:hAnsi="新細明體" w:cs="Times New Roman" w:hint="eastAsia"/>
          <w:szCs w:val="24"/>
        </w:rPr>
        <w:t>、</w:t>
      </w:r>
      <w:r w:rsidRPr="00881BCD">
        <w:rPr>
          <w:rFonts w:ascii="標楷體" w:eastAsia="標楷體" w:hAnsi="標楷體" w:cs="Times New Roman" w:hint="eastAsia"/>
          <w:szCs w:val="24"/>
        </w:rPr>
        <w:t>本原則經校教評會及校務會議審議通過，陳請校長核定後實施</w:t>
      </w:r>
      <w:r w:rsidRPr="00881BCD">
        <w:rPr>
          <w:rFonts w:ascii="新細明體" w:eastAsia="新細明體" w:hAnsi="新細明體" w:cs="Times New Roman" w:hint="eastAsia"/>
          <w:szCs w:val="24"/>
        </w:rPr>
        <w:t>。</w:t>
      </w:r>
    </w:p>
    <w:p w:rsidR="0092383B" w:rsidRPr="00881BCD" w:rsidRDefault="0092383B" w:rsidP="0092383B">
      <w:pPr>
        <w:widowControl/>
        <w:tabs>
          <w:tab w:val="left" w:pos="1134"/>
        </w:tabs>
        <w:rPr>
          <w:rFonts w:ascii="新細明體" w:eastAsia="新細明體" w:hAnsi="新細明體" w:cs="Times New Roman"/>
          <w:szCs w:val="24"/>
        </w:rPr>
      </w:pPr>
      <w:r w:rsidRPr="00881BCD">
        <w:rPr>
          <w:rFonts w:ascii="新細明體" w:eastAsia="新細明體" w:hAnsi="新細明體" w:cs="Times New Roman"/>
          <w:szCs w:val="24"/>
        </w:rPr>
        <w:br w:type="page"/>
      </w:r>
    </w:p>
    <w:p w:rsidR="0092383B" w:rsidRPr="00881BCD" w:rsidRDefault="0092383B" w:rsidP="0092383B">
      <w:pPr>
        <w:ind w:left="580" w:hangingChars="207" w:hanging="580"/>
        <w:rPr>
          <w:rFonts w:ascii="標楷體" w:eastAsia="標楷體" w:hAnsi="標楷體"/>
          <w:sz w:val="28"/>
          <w:szCs w:val="28"/>
        </w:rPr>
      </w:pPr>
      <w:r w:rsidRPr="00881BCD">
        <w:rPr>
          <w:rFonts w:ascii="標楷體" w:eastAsia="標楷體" w:hAnsi="標楷體" w:hint="eastAsia"/>
          <w:sz w:val="28"/>
          <w:szCs w:val="28"/>
        </w:rPr>
        <w:lastRenderedPageBreak/>
        <w:t>附表</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附表一：國立嘉義大學教師以學術著作送審教師資格審查基準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附表二：國立嘉義大學藝術類科教師以作品及成就證明送審教師資格審查基準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附表三：國立嘉義大學應用科技類科教師以技術報告送審教師資格審查基準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附表四：國立嘉義大學體育類科教師以體育成就證明送審教師資格審查基準</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附表五：國立嘉義大學教師以教學著作送審教師資格審查基準</w:t>
      </w:r>
    </w:p>
    <w:p w:rsidR="0092383B" w:rsidRPr="00881BCD" w:rsidRDefault="0092383B" w:rsidP="0092383B">
      <w:pPr>
        <w:ind w:left="960" w:hangingChars="400" w:hanging="960"/>
        <w:rPr>
          <w:rFonts w:ascii="標楷體" w:eastAsia="標楷體" w:hAnsi="標楷體"/>
          <w:szCs w:val="24"/>
        </w:rPr>
      </w:pPr>
      <w:r w:rsidRPr="00881BCD">
        <w:rPr>
          <w:rFonts w:ascii="標楷體" w:eastAsia="標楷體" w:hAnsi="標楷體" w:hint="eastAsia"/>
          <w:szCs w:val="24"/>
        </w:rPr>
        <w:t>附表六：國立嘉義大學各類型升等教師之升等評審項目配分標準、採計範圍、評審內容及通過標準一覽表</w:t>
      </w:r>
    </w:p>
    <w:p w:rsidR="0092383B" w:rsidRPr="00881BCD" w:rsidRDefault="0092383B" w:rsidP="0092383B">
      <w:pPr>
        <w:ind w:left="991" w:hangingChars="413" w:hanging="991"/>
        <w:rPr>
          <w:rFonts w:ascii="標楷體" w:eastAsia="標楷體" w:hAnsi="標楷體"/>
          <w:szCs w:val="24"/>
        </w:rPr>
      </w:pPr>
      <w:r w:rsidRPr="00881BCD">
        <w:rPr>
          <w:rFonts w:ascii="標楷體" w:eastAsia="標楷體" w:hAnsi="標楷體" w:hint="eastAsia"/>
          <w:szCs w:val="24"/>
        </w:rPr>
        <w:t>附表七：國立嘉義大學教師升等評分表（系所、中心適用－學術著作、體育成就證明</w:t>
      </w:r>
      <w:r w:rsidR="00342EE3" w:rsidRPr="00881BCD">
        <w:rPr>
          <w:rFonts w:ascii="標楷體" w:eastAsia="標楷體" w:hAnsi="標楷體" w:hint="eastAsia"/>
          <w:szCs w:val="24"/>
        </w:rPr>
        <w:t>、藝術作品、藝術成就證明</w:t>
      </w:r>
      <w:r w:rsidRPr="00881BCD">
        <w:rPr>
          <w:rFonts w:ascii="標楷體" w:eastAsia="標楷體" w:hAnsi="標楷體" w:hint="eastAsia"/>
          <w:szCs w:val="24"/>
        </w:rPr>
        <w:t>）</w:t>
      </w:r>
    </w:p>
    <w:p w:rsidR="0092383B" w:rsidRPr="00881BCD" w:rsidRDefault="0092383B" w:rsidP="0092383B">
      <w:pPr>
        <w:ind w:left="991" w:hangingChars="413" w:hanging="991"/>
        <w:rPr>
          <w:rFonts w:ascii="標楷體" w:eastAsia="標楷體" w:hAnsi="標楷體"/>
          <w:szCs w:val="24"/>
        </w:rPr>
      </w:pPr>
      <w:r w:rsidRPr="00881BCD">
        <w:rPr>
          <w:rFonts w:ascii="標楷體" w:eastAsia="標楷體" w:hAnsi="標楷體" w:hint="eastAsia"/>
          <w:szCs w:val="24"/>
        </w:rPr>
        <w:t>附表八：國立嘉義大學教師升等評分表（學院適用－學術著作、體育成就證明、</w:t>
      </w:r>
      <w:r w:rsidR="00342EE3" w:rsidRPr="00881BCD">
        <w:rPr>
          <w:rFonts w:ascii="標楷體" w:eastAsia="標楷體" w:hAnsi="標楷體" w:hint="eastAsia"/>
          <w:szCs w:val="24"/>
        </w:rPr>
        <w:t>藝術作品、藝術成就證明</w:t>
      </w:r>
      <w:r w:rsidRPr="00881BCD">
        <w:rPr>
          <w:rFonts w:ascii="標楷體" w:eastAsia="標楷體" w:hAnsi="標楷體" w:hint="eastAsia"/>
          <w:szCs w:val="24"/>
        </w:rPr>
        <w:t>）</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w:t>
      </w:r>
      <w:r w:rsidR="00342EE3" w:rsidRPr="00881BCD">
        <w:rPr>
          <w:rFonts w:ascii="標楷體" w:eastAsia="標楷體" w:hAnsi="標楷體" w:hint="eastAsia"/>
          <w:szCs w:val="24"/>
        </w:rPr>
        <w:t>九</w:t>
      </w:r>
      <w:r w:rsidRPr="00881BCD">
        <w:rPr>
          <w:rFonts w:ascii="標楷體" w:eastAsia="標楷體" w:hAnsi="標楷體" w:hint="eastAsia"/>
          <w:szCs w:val="24"/>
        </w:rPr>
        <w:t>：國立嘉義大學教師升等評分表（系所、中心適用－教學著作）</w:t>
      </w:r>
    </w:p>
    <w:p w:rsidR="0092383B" w:rsidRPr="00881BCD" w:rsidRDefault="0092383B" w:rsidP="0092383B">
      <w:pPr>
        <w:ind w:left="497" w:hangingChars="207" w:hanging="497"/>
        <w:rPr>
          <w:rFonts w:ascii="標楷體" w:eastAsia="標楷體" w:hAnsi="標楷體"/>
          <w:szCs w:val="24"/>
        </w:rPr>
      </w:pPr>
      <w:r w:rsidRPr="00881BCD">
        <w:rPr>
          <w:rFonts w:ascii="標楷體" w:eastAsia="標楷體" w:hAnsi="標楷體" w:hint="eastAsia"/>
          <w:szCs w:val="24"/>
        </w:rPr>
        <w:t>附表十：國立嘉義大學教師升等評分表（學院適用－教學著作）</w:t>
      </w:r>
    </w:p>
    <w:p w:rsidR="00342EE3" w:rsidRPr="00881BCD" w:rsidRDefault="00342EE3" w:rsidP="00342EE3">
      <w:pPr>
        <w:ind w:left="497" w:hangingChars="207" w:hanging="497"/>
        <w:rPr>
          <w:rFonts w:ascii="標楷體" w:eastAsia="標楷體" w:hAnsi="標楷體"/>
          <w:szCs w:val="24"/>
        </w:rPr>
      </w:pPr>
      <w:r w:rsidRPr="00881BCD">
        <w:rPr>
          <w:rFonts w:ascii="標楷體" w:eastAsia="標楷體" w:hAnsi="標楷體" w:hint="eastAsia"/>
          <w:szCs w:val="24"/>
        </w:rPr>
        <w:t>附表十一：國立嘉義大學教師升等評分表（系所、中心適用－技術報告）</w:t>
      </w:r>
    </w:p>
    <w:p w:rsidR="00342EE3" w:rsidRPr="00881BCD" w:rsidRDefault="00342EE3" w:rsidP="00342EE3">
      <w:pPr>
        <w:ind w:left="497" w:hangingChars="207" w:hanging="497"/>
        <w:rPr>
          <w:rFonts w:ascii="標楷體" w:eastAsia="標楷體" w:hAnsi="標楷體"/>
          <w:szCs w:val="24"/>
        </w:rPr>
      </w:pPr>
      <w:r w:rsidRPr="00881BCD">
        <w:rPr>
          <w:rFonts w:ascii="標楷體" w:eastAsia="標楷體" w:hAnsi="標楷體" w:hint="eastAsia"/>
          <w:szCs w:val="24"/>
        </w:rPr>
        <w:t>附表十二：國立嘉義大學教師升等評分表（學院適用－技術報告）</w:t>
      </w:r>
    </w:p>
    <w:p w:rsidR="00D063E2" w:rsidRPr="00881BCD" w:rsidRDefault="00D063E2" w:rsidP="00D063E2">
      <w:pPr>
        <w:spacing w:beforeLines="25" w:before="90" w:afterLines="25" w:after="90" w:line="360" w:lineRule="exact"/>
        <w:rPr>
          <w:rFonts w:ascii="標楷體" w:eastAsia="標楷體" w:hAnsi="標楷體" w:cs="Times New Roman"/>
          <w:szCs w:val="24"/>
        </w:rPr>
      </w:pPr>
      <w:r w:rsidRPr="00881BCD">
        <w:rPr>
          <w:rFonts w:ascii="標楷體" w:eastAsia="標楷體" w:hAnsi="標楷體" w:cs="Times New Roman" w:hint="eastAsia"/>
          <w:szCs w:val="24"/>
        </w:rPr>
        <w:t>附表十三：國立嘉義大學教師升等Aa研究計畫評分表</w:t>
      </w:r>
    </w:p>
    <w:p w:rsidR="00D063E2" w:rsidRPr="00881BCD" w:rsidRDefault="00D063E2" w:rsidP="00D063E2">
      <w:pPr>
        <w:pStyle w:val="a9"/>
        <w:numPr>
          <w:ilvl w:val="1"/>
          <w:numId w:val="7"/>
        </w:numPr>
        <w:spacing w:beforeLines="25" w:before="90" w:afterLines="25" w:after="90" w:line="360" w:lineRule="exact"/>
        <w:ind w:leftChars="0" w:left="0" w:firstLine="0"/>
        <w:rPr>
          <w:rFonts w:ascii="標楷體" w:eastAsia="標楷體" w:hAnsi="標楷體" w:cs="Times New Roman"/>
          <w:szCs w:val="24"/>
        </w:rPr>
      </w:pPr>
      <w:r w:rsidRPr="00881BCD">
        <w:rPr>
          <w:rFonts w:ascii="標楷體" w:eastAsia="標楷體" w:hAnsi="標楷體" w:cs="Times New Roman" w:hint="eastAsia"/>
          <w:szCs w:val="24"/>
        </w:rPr>
        <w:t>送審類別：學術著作(或作品、成就證明)</w:t>
      </w:r>
    </w:p>
    <w:p w:rsidR="00D063E2" w:rsidRPr="00881BCD" w:rsidRDefault="00D063E2" w:rsidP="00D063E2">
      <w:pPr>
        <w:pStyle w:val="a9"/>
        <w:numPr>
          <w:ilvl w:val="1"/>
          <w:numId w:val="7"/>
        </w:numPr>
        <w:spacing w:beforeLines="25" w:before="90" w:afterLines="25" w:after="90" w:line="360" w:lineRule="exact"/>
        <w:ind w:leftChars="0" w:left="0" w:firstLine="0"/>
        <w:rPr>
          <w:rFonts w:ascii="標楷體" w:eastAsia="標楷體" w:hAnsi="標楷體" w:cs="Times New Roman"/>
          <w:szCs w:val="24"/>
        </w:rPr>
      </w:pPr>
      <w:r w:rsidRPr="00881BCD">
        <w:rPr>
          <w:rFonts w:ascii="標楷體" w:eastAsia="標楷體" w:hAnsi="標楷體" w:cs="Times New Roman" w:hint="eastAsia"/>
          <w:szCs w:val="24"/>
        </w:rPr>
        <w:t>送審類別：教學著作</w:t>
      </w:r>
    </w:p>
    <w:p w:rsidR="00D063E2" w:rsidRPr="00881BCD" w:rsidRDefault="00D063E2" w:rsidP="00D063E2">
      <w:pPr>
        <w:pStyle w:val="a9"/>
        <w:numPr>
          <w:ilvl w:val="1"/>
          <w:numId w:val="7"/>
        </w:numPr>
        <w:spacing w:beforeLines="25" w:before="90" w:afterLines="25" w:after="90" w:line="360" w:lineRule="exact"/>
        <w:ind w:leftChars="0" w:left="0" w:firstLine="0"/>
        <w:rPr>
          <w:rFonts w:ascii="標楷體" w:eastAsia="標楷體" w:hAnsi="標楷體" w:cs="Times New Roman"/>
          <w:szCs w:val="24"/>
        </w:rPr>
      </w:pPr>
      <w:r w:rsidRPr="00881BCD">
        <w:rPr>
          <w:rFonts w:ascii="標楷體" w:eastAsia="標楷體" w:hAnsi="標楷體" w:cs="Times New Roman" w:hint="eastAsia"/>
          <w:szCs w:val="24"/>
        </w:rPr>
        <w:t>送審類別：技術報告</w:t>
      </w:r>
    </w:p>
    <w:p w:rsidR="00D063E2" w:rsidRPr="00881BCD" w:rsidRDefault="00D063E2" w:rsidP="00D063E2">
      <w:pPr>
        <w:spacing w:beforeLines="25" w:before="90" w:afterLines="25" w:after="90" w:line="360" w:lineRule="exact"/>
        <w:rPr>
          <w:rFonts w:ascii="標楷體" w:eastAsia="標楷體" w:hAnsi="標楷體" w:cs="Times New Roman"/>
          <w:szCs w:val="24"/>
        </w:rPr>
      </w:pPr>
      <w:r w:rsidRPr="00881BCD">
        <w:rPr>
          <w:rFonts w:ascii="標楷體" w:eastAsia="標楷體" w:hAnsi="標楷體" w:cs="Times New Roman" w:hint="eastAsia"/>
          <w:szCs w:val="24"/>
        </w:rPr>
        <w:t>附表十四：國立嘉義大學教師升等Ab研究成果評分表</w:t>
      </w:r>
    </w:p>
    <w:p w:rsidR="00D063E2" w:rsidRPr="00881BCD" w:rsidRDefault="00D063E2" w:rsidP="00D063E2">
      <w:pPr>
        <w:pStyle w:val="a9"/>
        <w:spacing w:beforeLines="25" w:before="90" w:afterLines="25" w:after="90" w:line="360" w:lineRule="exact"/>
        <w:ind w:leftChars="0" w:left="0"/>
        <w:rPr>
          <w:rFonts w:ascii="標楷體" w:eastAsia="標楷體" w:hAnsi="標楷體" w:cs="Times New Roman"/>
          <w:szCs w:val="24"/>
        </w:rPr>
      </w:pPr>
      <w:r w:rsidRPr="00881BCD">
        <w:rPr>
          <w:rFonts w:ascii="標楷體" w:eastAsia="標楷體" w:hAnsi="標楷體" w:cs="Times New Roman" w:hint="eastAsia"/>
          <w:szCs w:val="24"/>
        </w:rPr>
        <w:t>（一）送審類別：學術著作（或作品、成就證明）</w:t>
      </w:r>
    </w:p>
    <w:p w:rsidR="00D063E2" w:rsidRPr="00881BCD" w:rsidRDefault="00D063E2" w:rsidP="00D063E2">
      <w:pPr>
        <w:pStyle w:val="a9"/>
        <w:spacing w:beforeLines="25" w:before="90" w:afterLines="25" w:after="90" w:line="360" w:lineRule="exact"/>
        <w:ind w:leftChars="0" w:left="0"/>
        <w:rPr>
          <w:rFonts w:ascii="標楷體" w:eastAsia="標楷體" w:hAnsi="標楷體" w:cs="Times New Roman"/>
          <w:szCs w:val="24"/>
        </w:rPr>
      </w:pPr>
      <w:r w:rsidRPr="00881BCD">
        <w:rPr>
          <w:rFonts w:ascii="標楷體" w:eastAsia="標楷體" w:hAnsi="標楷體" w:cs="Times New Roman" w:hint="eastAsia"/>
          <w:szCs w:val="24"/>
        </w:rPr>
        <w:t>（二）</w:t>
      </w:r>
      <w:r w:rsidRPr="00881BCD">
        <w:rPr>
          <w:rFonts w:ascii="標楷體" w:eastAsia="標楷體" w:hAnsi="標楷體" w:cs="Times New Roman" w:hint="eastAsia"/>
          <w:szCs w:val="24"/>
        </w:rPr>
        <w:tab/>
        <w:t>送審類別：教學著作</w:t>
      </w:r>
    </w:p>
    <w:p w:rsidR="00D063E2" w:rsidRPr="00881BCD" w:rsidRDefault="00D063E2" w:rsidP="00D063E2">
      <w:pPr>
        <w:pStyle w:val="a9"/>
        <w:spacing w:beforeLines="25" w:before="90" w:afterLines="25" w:after="90" w:line="360" w:lineRule="exact"/>
        <w:ind w:leftChars="0" w:left="0"/>
        <w:rPr>
          <w:rFonts w:ascii="標楷體" w:eastAsia="標楷體" w:hAnsi="標楷體" w:cs="Times New Roman"/>
          <w:szCs w:val="24"/>
        </w:rPr>
      </w:pPr>
      <w:r w:rsidRPr="00881BCD">
        <w:rPr>
          <w:rFonts w:ascii="標楷體" w:eastAsia="標楷體" w:hAnsi="標楷體" w:cs="Times New Roman" w:hint="eastAsia"/>
          <w:szCs w:val="24"/>
        </w:rPr>
        <w:t>（三）送審類別：技術報告</w:t>
      </w:r>
    </w:p>
    <w:p w:rsidR="00D063E2" w:rsidRPr="00881BCD" w:rsidRDefault="00D063E2" w:rsidP="00342EE3">
      <w:pPr>
        <w:ind w:left="497" w:hangingChars="207" w:hanging="497"/>
        <w:rPr>
          <w:rFonts w:ascii="標楷體" w:eastAsia="標楷體" w:hAnsi="標楷體"/>
          <w:szCs w:val="24"/>
        </w:rPr>
      </w:pPr>
    </w:p>
    <w:p w:rsidR="0092383B" w:rsidRPr="00881BCD" w:rsidRDefault="0092383B" w:rsidP="0092383B">
      <w:pPr>
        <w:ind w:left="497" w:hangingChars="207" w:hanging="497"/>
        <w:rPr>
          <w:rFonts w:ascii="標楷體" w:eastAsia="標楷體" w:hAnsi="標楷體"/>
          <w:szCs w:val="24"/>
        </w:rPr>
      </w:pPr>
    </w:p>
    <w:p w:rsidR="00830128" w:rsidRPr="00881BCD" w:rsidRDefault="00830128" w:rsidP="0092383B">
      <w:pPr>
        <w:jc w:val="center"/>
        <w:rPr>
          <w:rFonts w:ascii="標楷體" w:eastAsia="標楷體" w:hAnsi="標楷體"/>
          <w:szCs w:val="24"/>
        </w:rPr>
      </w:pPr>
    </w:p>
    <w:sectPr w:rsidR="00830128" w:rsidRPr="00881BCD" w:rsidSect="00532FD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71" w:rsidRDefault="009C2271" w:rsidP="00385E1C">
      <w:r>
        <w:separator/>
      </w:r>
    </w:p>
  </w:endnote>
  <w:endnote w:type="continuationSeparator" w:id="0">
    <w:p w:rsidR="009C2271" w:rsidRDefault="009C2271" w:rsidP="0038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47844"/>
      <w:docPartObj>
        <w:docPartGallery w:val="Page Numbers (Bottom of Page)"/>
        <w:docPartUnique/>
      </w:docPartObj>
    </w:sdtPr>
    <w:sdtEndPr/>
    <w:sdtContent>
      <w:p w:rsidR="00392B13" w:rsidRDefault="00392B13">
        <w:pPr>
          <w:pStyle w:val="a5"/>
          <w:jc w:val="center"/>
        </w:pPr>
        <w:r>
          <w:fldChar w:fldCharType="begin"/>
        </w:r>
        <w:r>
          <w:instrText>PAGE   \* MERGEFORMAT</w:instrText>
        </w:r>
        <w:r>
          <w:fldChar w:fldCharType="separate"/>
        </w:r>
        <w:r w:rsidR="00391FE7" w:rsidRPr="00391FE7">
          <w:rPr>
            <w:noProof/>
            <w:lang w:val="zh-TW"/>
          </w:rPr>
          <w:t>1</w:t>
        </w:r>
        <w:r>
          <w:fldChar w:fldCharType="end"/>
        </w:r>
      </w:p>
    </w:sdtContent>
  </w:sdt>
  <w:p w:rsidR="00392B13" w:rsidRDefault="00392B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71" w:rsidRDefault="009C2271" w:rsidP="00385E1C">
      <w:r>
        <w:separator/>
      </w:r>
    </w:p>
  </w:footnote>
  <w:footnote w:type="continuationSeparator" w:id="0">
    <w:p w:rsidR="009C2271" w:rsidRDefault="009C2271" w:rsidP="00385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69DE"/>
    <w:multiLevelType w:val="hybridMultilevel"/>
    <w:tmpl w:val="614AC646"/>
    <w:lvl w:ilvl="0" w:tplc="FF4E14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447470"/>
    <w:multiLevelType w:val="hybridMultilevel"/>
    <w:tmpl w:val="44EC8888"/>
    <w:lvl w:ilvl="0" w:tplc="7E364D0C">
      <w:start w:val="1"/>
      <w:numFmt w:val="taiwaneseCountingThousand"/>
      <w:lvlText w:val="%1、"/>
      <w:lvlJc w:val="left"/>
      <w:pPr>
        <w:ind w:left="720" w:hanging="720"/>
      </w:pPr>
      <w:rPr>
        <w:rFonts w:hint="default"/>
      </w:rPr>
    </w:lvl>
    <w:lvl w:ilvl="1" w:tplc="617C5062">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8E4D7B"/>
    <w:multiLevelType w:val="hybridMultilevel"/>
    <w:tmpl w:val="5B2E7A0C"/>
    <w:lvl w:ilvl="0" w:tplc="0ADCD4D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4106ED"/>
    <w:multiLevelType w:val="hybridMultilevel"/>
    <w:tmpl w:val="91AC14C4"/>
    <w:lvl w:ilvl="0" w:tplc="FDD69A94">
      <w:start w:val="4"/>
      <w:numFmt w:val="taiwaneseCountingThousand"/>
      <w:lvlText w:val="（%1）"/>
      <w:lvlJc w:val="left"/>
      <w:pPr>
        <w:ind w:left="1284" w:hanging="8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B39157C"/>
    <w:multiLevelType w:val="hybridMultilevel"/>
    <w:tmpl w:val="AFD291C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5">
    <w:nsid w:val="79E04F98"/>
    <w:multiLevelType w:val="hybridMultilevel"/>
    <w:tmpl w:val="6096BCAC"/>
    <w:lvl w:ilvl="0" w:tplc="C458215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B0F4652"/>
    <w:multiLevelType w:val="hybridMultilevel"/>
    <w:tmpl w:val="CE90078A"/>
    <w:lvl w:ilvl="0" w:tplc="3154CA3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A0"/>
    <w:rsid w:val="0000138B"/>
    <w:rsid w:val="00001934"/>
    <w:rsid w:val="00003764"/>
    <w:rsid w:val="00003F3E"/>
    <w:rsid w:val="000066A6"/>
    <w:rsid w:val="000068AC"/>
    <w:rsid w:val="00017483"/>
    <w:rsid w:val="000211A9"/>
    <w:rsid w:val="00025A98"/>
    <w:rsid w:val="00027A23"/>
    <w:rsid w:val="000320A6"/>
    <w:rsid w:val="00040029"/>
    <w:rsid w:val="00042BD6"/>
    <w:rsid w:val="0004360D"/>
    <w:rsid w:val="00043DBA"/>
    <w:rsid w:val="0004538E"/>
    <w:rsid w:val="000535EC"/>
    <w:rsid w:val="00060272"/>
    <w:rsid w:val="000623CD"/>
    <w:rsid w:val="0006646A"/>
    <w:rsid w:val="00071946"/>
    <w:rsid w:val="000744D0"/>
    <w:rsid w:val="00081937"/>
    <w:rsid w:val="00081FF4"/>
    <w:rsid w:val="0008203E"/>
    <w:rsid w:val="00084DDB"/>
    <w:rsid w:val="00091ED3"/>
    <w:rsid w:val="00095A3A"/>
    <w:rsid w:val="000A0B09"/>
    <w:rsid w:val="000A22F7"/>
    <w:rsid w:val="000A7007"/>
    <w:rsid w:val="000B68E1"/>
    <w:rsid w:val="000C5405"/>
    <w:rsid w:val="000D1E02"/>
    <w:rsid w:val="000E285A"/>
    <w:rsid w:val="000E7F2F"/>
    <w:rsid w:val="000F2315"/>
    <w:rsid w:val="000F3E85"/>
    <w:rsid w:val="000F429A"/>
    <w:rsid w:val="000F6DC2"/>
    <w:rsid w:val="0010000C"/>
    <w:rsid w:val="00103803"/>
    <w:rsid w:val="0011326C"/>
    <w:rsid w:val="0011762B"/>
    <w:rsid w:val="001223A7"/>
    <w:rsid w:val="00123C86"/>
    <w:rsid w:val="001253E6"/>
    <w:rsid w:val="001339D3"/>
    <w:rsid w:val="00135FAE"/>
    <w:rsid w:val="00144BD3"/>
    <w:rsid w:val="001451AA"/>
    <w:rsid w:val="00146736"/>
    <w:rsid w:val="0015131C"/>
    <w:rsid w:val="00151FFB"/>
    <w:rsid w:val="0015279A"/>
    <w:rsid w:val="001529AA"/>
    <w:rsid w:val="0015629B"/>
    <w:rsid w:val="00163637"/>
    <w:rsid w:val="0016736A"/>
    <w:rsid w:val="00175D24"/>
    <w:rsid w:val="001822E2"/>
    <w:rsid w:val="00183474"/>
    <w:rsid w:val="00183702"/>
    <w:rsid w:val="00192F60"/>
    <w:rsid w:val="00193CB6"/>
    <w:rsid w:val="00195EBD"/>
    <w:rsid w:val="001A3A40"/>
    <w:rsid w:val="001A7FCC"/>
    <w:rsid w:val="001C31C1"/>
    <w:rsid w:val="001C37B2"/>
    <w:rsid w:val="001C4AAC"/>
    <w:rsid w:val="001E76C5"/>
    <w:rsid w:val="001F36BE"/>
    <w:rsid w:val="001F5072"/>
    <w:rsid w:val="001F52BF"/>
    <w:rsid w:val="001F5489"/>
    <w:rsid w:val="001F781D"/>
    <w:rsid w:val="00202AF6"/>
    <w:rsid w:val="00202BD8"/>
    <w:rsid w:val="00204F46"/>
    <w:rsid w:val="00222302"/>
    <w:rsid w:val="0022437E"/>
    <w:rsid w:val="0022619C"/>
    <w:rsid w:val="00227A3A"/>
    <w:rsid w:val="00233C0E"/>
    <w:rsid w:val="0023412B"/>
    <w:rsid w:val="00237E17"/>
    <w:rsid w:val="00243218"/>
    <w:rsid w:val="00250A0B"/>
    <w:rsid w:val="00256987"/>
    <w:rsid w:val="002651C3"/>
    <w:rsid w:val="00266F68"/>
    <w:rsid w:val="00266FC8"/>
    <w:rsid w:val="00271274"/>
    <w:rsid w:val="00272720"/>
    <w:rsid w:val="002923A0"/>
    <w:rsid w:val="002970AC"/>
    <w:rsid w:val="002A309B"/>
    <w:rsid w:val="002B1A0F"/>
    <w:rsid w:val="002B47DF"/>
    <w:rsid w:val="002B4B47"/>
    <w:rsid w:val="002B5A7C"/>
    <w:rsid w:val="002C0717"/>
    <w:rsid w:val="002C7B42"/>
    <w:rsid w:val="002D357A"/>
    <w:rsid w:val="002D6C6F"/>
    <w:rsid w:val="002F0EED"/>
    <w:rsid w:val="002F2A4F"/>
    <w:rsid w:val="002F67A2"/>
    <w:rsid w:val="002F75B2"/>
    <w:rsid w:val="002F7BE9"/>
    <w:rsid w:val="00300688"/>
    <w:rsid w:val="00303091"/>
    <w:rsid w:val="0030510D"/>
    <w:rsid w:val="0030583B"/>
    <w:rsid w:val="00310275"/>
    <w:rsid w:val="00310EB7"/>
    <w:rsid w:val="003122FB"/>
    <w:rsid w:val="003151EC"/>
    <w:rsid w:val="0032502C"/>
    <w:rsid w:val="003254CA"/>
    <w:rsid w:val="0033331B"/>
    <w:rsid w:val="003335A0"/>
    <w:rsid w:val="003364D1"/>
    <w:rsid w:val="00342023"/>
    <w:rsid w:val="00342EE3"/>
    <w:rsid w:val="0034376D"/>
    <w:rsid w:val="003438D7"/>
    <w:rsid w:val="00345E3E"/>
    <w:rsid w:val="00346BB4"/>
    <w:rsid w:val="003504A0"/>
    <w:rsid w:val="00355442"/>
    <w:rsid w:val="00361BEE"/>
    <w:rsid w:val="003678FD"/>
    <w:rsid w:val="00374566"/>
    <w:rsid w:val="00385E1C"/>
    <w:rsid w:val="0039052D"/>
    <w:rsid w:val="00391FE7"/>
    <w:rsid w:val="00392B13"/>
    <w:rsid w:val="003943E2"/>
    <w:rsid w:val="00395768"/>
    <w:rsid w:val="00397C8B"/>
    <w:rsid w:val="003A2C92"/>
    <w:rsid w:val="003A5712"/>
    <w:rsid w:val="003B2E79"/>
    <w:rsid w:val="003B4897"/>
    <w:rsid w:val="003C2A79"/>
    <w:rsid w:val="003C3441"/>
    <w:rsid w:val="003D440A"/>
    <w:rsid w:val="003D5502"/>
    <w:rsid w:val="003D7134"/>
    <w:rsid w:val="003D7CD4"/>
    <w:rsid w:val="003E121C"/>
    <w:rsid w:val="003E7D2F"/>
    <w:rsid w:val="003F1649"/>
    <w:rsid w:val="003F3C08"/>
    <w:rsid w:val="003F5980"/>
    <w:rsid w:val="003F79D6"/>
    <w:rsid w:val="00403ECC"/>
    <w:rsid w:val="004050D7"/>
    <w:rsid w:val="0040510C"/>
    <w:rsid w:val="00417907"/>
    <w:rsid w:val="00417A13"/>
    <w:rsid w:val="00420D09"/>
    <w:rsid w:val="00422E0A"/>
    <w:rsid w:val="00426359"/>
    <w:rsid w:val="004328F9"/>
    <w:rsid w:val="0043331B"/>
    <w:rsid w:val="004356B2"/>
    <w:rsid w:val="00435DED"/>
    <w:rsid w:val="0044091B"/>
    <w:rsid w:val="00451647"/>
    <w:rsid w:val="004565B3"/>
    <w:rsid w:val="00461FEC"/>
    <w:rsid w:val="00473450"/>
    <w:rsid w:val="00484552"/>
    <w:rsid w:val="00493F64"/>
    <w:rsid w:val="004A183C"/>
    <w:rsid w:val="004A1BE2"/>
    <w:rsid w:val="004A4AAB"/>
    <w:rsid w:val="004A69AA"/>
    <w:rsid w:val="004A7351"/>
    <w:rsid w:val="004B56C5"/>
    <w:rsid w:val="004B7107"/>
    <w:rsid w:val="004B7BCA"/>
    <w:rsid w:val="004C099A"/>
    <w:rsid w:val="004C38D8"/>
    <w:rsid w:val="004C56F4"/>
    <w:rsid w:val="004E1F2D"/>
    <w:rsid w:val="004E2D33"/>
    <w:rsid w:val="004F1458"/>
    <w:rsid w:val="004F2180"/>
    <w:rsid w:val="004F36EB"/>
    <w:rsid w:val="004F4204"/>
    <w:rsid w:val="00500E4D"/>
    <w:rsid w:val="00503A33"/>
    <w:rsid w:val="0050781E"/>
    <w:rsid w:val="00511147"/>
    <w:rsid w:val="00511B48"/>
    <w:rsid w:val="005127AB"/>
    <w:rsid w:val="00515C00"/>
    <w:rsid w:val="00517BC4"/>
    <w:rsid w:val="00517F30"/>
    <w:rsid w:val="005210FB"/>
    <w:rsid w:val="005221AA"/>
    <w:rsid w:val="00523AE6"/>
    <w:rsid w:val="00532FD3"/>
    <w:rsid w:val="005416ED"/>
    <w:rsid w:val="00546C5F"/>
    <w:rsid w:val="00547E57"/>
    <w:rsid w:val="0056198A"/>
    <w:rsid w:val="00565437"/>
    <w:rsid w:val="005666D0"/>
    <w:rsid w:val="00567212"/>
    <w:rsid w:val="00572225"/>
    <w:rsid w:val="00572AEA"/>
    <w:rsid w:val="005751B3"/>
    <w:rsid w:val="00576C8B"/>
    <w:rsid w:val="005828D0"/>
    <w:rsid w:val="0058452F"/>
    <w:rsid w:val="005848D9"/>
    <w:rsid w:val="0058493B"/>
    <w:rsid w:val="00585C36"/>
    <w:rsid w:val="00585E16"/>
    <w:rsid w:val="0058608F"/>
    <w:rsid w:val="00586940"/>
    <w:rsid w:val="00587692"/>
    <w:rsid w:val="00591CD0"/>
    <w:rsid w:val="0059217A"/>
    <w:rsid w:val="00592EC7"/>
    <w:rsid w:val="0059395B"/>
    <w:rsid w:val="005946A8"/>
    <w:rsid w:val="0059635F"/>
    <w:rsid w:val="005A5727"/>
    <w:rsid w:val="005A61C5"/>
    <w:rsid w:val="005A774F"/>
    <w:rsid w:val="005A7B96"/>
    <w:rsid w:val="005A7E61"/>
    <w:rsid w:val="005B0EBA"/>
    <w:rsid w:val="005B4468"/>
    <w:rsid w:val="005C1A35"/>
    <w:rsid w:val="005C4664"/>
    <w:rsid w:val="005C659D"/>
    <w:rsid w:val="005C66D9"/>
    <w:rsid w:val="005C6F5C"/>
    <w:rsid w:val="005D22FE"/>
    <w:rsid w:val="005D2E52"/>
    <w:rsid w:val="005D3124"/>
    <w:rsid w:val="005D3D15"/>
    <w:rsid w:val="005E1177"/>
    <w:rsid w:val="005E2D06"/>
    <w:rsid w:val="005E4C2A"/>
    <w:rsid w:val="005E7972"/>
    <w:rsid w:val="005E7D23"/>
    <w:rsid w:val="005F06FC"/>
    <w:rsid w:val="005F21E9"/>
    <w:rsid w:val="005F3FF6"/>
    <w:rsid w:val="00601DC7"/>
    <w:rsid w:val="006032FC"/>
    <w:rsid w:val="00612F13"/>
    <w:rsid w:val="00615E30"/>
    <w:rsid w:val="00616E09"/>
    <w:rsid w:val="00623179"/>
    <w:rsid w:val="0062761B"/>
    <w:rsid w:val="00630AF8"/>
    <w:rsid w:val="00633D70"/>
    <w:rsid w:val="00635888"/>
    <w:rsid w:val="006462DD"/>
    <w:rsid w:val="00653C88"/>
    <w:rsid w:val="00660A30"/>
    <w:rsid w:val="006623CA"/>
    <w:rsid w:val="006672B9"/>
    <w:rsid w:val="006710EA"/>
    <w:rsid w:val="00674396"/>
    <w:rsid w:val="00674915"/>
    <w:rsid w:val="00676FAB"/>
    <w:rsid w:val="00681308"/>
    <w:rsid w:val="00681554"/>
    <w:rsid w:val="006828C0"/>
    <w:rsid w:val="006865FD"/>
    <w:rsid w:val="00687F89"/>
    <w:rsid w:val="006901B3"/>
    <w:rsid w:val="00691F60"/>
    <w:rsid w:val="006A00F5"/>
    <w:rsid w:val="006A791A"/>
    <w:rsid w:val="006B02BB"/>
    <w:rsid w:val="006B0E26"/>
    <w:rsid w:val="006B2586"/>
    <w:rsid w:val="006B4D56"/>
    <w:rsid w:val="006C3BE4"/>
    <w:rsid w:val="006C6E09"/>
    <w:rsid w:val="006D2819"/>
    <w:rsid w:val="006D3045"/>
    <w:rsid w:val="006D33F6"/>
    <w:rsid w:val="006D4BF9"/>
    <w:rsid w:val="006E1709"/>
    <w:rsid w:val="006E4698"/>
    <w:rsid w:val="006E51DC"/>
    <w:rsid w:val="00702D47"/>
    <w:rsid w:val="0070485E"/>
    <w:rsid w:val="007050D3"/>
    <w:rsid w:val="00706A10"/>
    <w:rsid w:val="00712857"/>
    <w:rsid w:val="00722CF4"/>
    <w:rsid w:val="00723A6C"/>
    <w:rsid w:val="007254D1"/>
    <w:rsid w:val="007310DB"/>
    <w:rsid w:val="007362B3"/>
    <w:rsid w:val="00741FB1"/>
    <w:rsid w:val="0075069F"/>
    <w:rsid w:val="00750E6E"/>
    <w:rsid w:val="007530C0"/>
    <w:rsid w:val="0075323D"/>
    <w:rsid w:val="00753D24"/>
    <w:rsid w:val="007546D7"/>
    <w:rsid w:val="007568E4"/>
    <w:rsid w:val="00762375"/>
    <w:rsid w:val="007633E9"/>
    <w:rsid w:val="0076435D"/>
    <w:rsid w:val="007655F5"/>
    <w:rsid w:val="0076682C"/>
    <w:rsid w:val="00783666"/>
    <w:rsid w:val="00785666"/>
    <w:rsid w:val="007873D5"/>
    <w:rsid w:val="00792A00"/>
    <w:rsid w:val="00794C6F"/>
    <w:rsid w:val="00796B0A"/>
    <w:rsid w:val="007A0E2D"/>
    <w:rsid w:val="007A3F27"/>
    <w:rsid w:val="007A49BF"/>
    <w:rsid w:val="007A6874"/>
    <w:rsid w:val="007B012D"/>
    <w:rsid w:val="007B24A3"/>
    <w:rsid w:val="007C06B2"/>
    <w:rsid w:val="007C4627"/>
    <w:rsid w:val="007C73A0"/>
    <w:rsid w:val="007D262E"/>
    <w:rsid w:val="007D3256"/>
    <w:rsid w:val="007D3310"/>
    <w:rsid w:val="007E0232"/>
    <w:rsid w:val="007E264D"/>
    <w:rsid w:val="007E6D0A"/>
    <w:rsid w:val="007F3459"/>
    <w:rsid w:val="007F5AD2"/>
    <w:rsid w:val="00806D70"/>
    <w:rsid w:val="008168D2"/>
    <w:rsid w:val="008176CF"/>
    <w:rsid w:val="008264EF"/>
    <w:rsid w:val="00830128"/>
    <w:rsid w:val="008318F3"/>
    <w:rsid w:val="008429AE"/>
    <w:rsid w:val="00851634"/>
    <w:rsid w:val="0085522A"/>
    <w:rsid w:val="00856189"/>
    <w:rsid w:val="00860F8C"/>
    <w:rsid w:val="008652B3"/>
    <w:rsid w:val="0087382A"/>
    <w:rsid w:val="00873C9D"/>
    <w:rsid w:val="00874628"/>
    <w:rsid w:val="008758FF"/>
    <w:rsid w:val="00880D60"/>
    <w:rsid w:val="008815FA"/>
    <w:rsid w:val="00881BCD"/>
    <w:rsid w:val="00884286"/>
    <w:rsid w:val="008A2CAF"/>
    <w:rsid w:val="008A643E"/>
    <w:rsid w:val="008B0205"/>
    <w:rsid w:val="008B153C"/>
    <w:rsid w:val="008B3312"/>
    <w:rsid w:val="008B3932"/>
    <w:rsid w:val="008B6E30"/>
    <w:rsid w:val="008C175B"/>
    <w:rsid w:val="008D0886"/>
    <w:rsid w:val="008D0ADC"/>
    <w:rsid w:val="008D12D5"/>
    <w:rsid w:val="008D2B32"/>
    <w:rsid w:val="008D39C1"/>
    <w:rsid w:val="008D40E6"/>
    <w:rsid w:val="008D5593"/>
    <w:rsid w:val="008E4F6E"/>
    <w:rsid w:val="008E5984"/>
    <w:rsid w:val="008E6330"/>
    <w:rsid w:val="008E6E61"/>
    <w:rsid w:val="008E781C"/>
    <w:rsid w:val="008F560B"/>
    <w:rsid w:val="008F7DA0"/>
    <w:rsid w:val="00900EDF"/>
    <w:rsid w:val="00901135"/>
    <w:rsid w:val="009014EE"/>
    <w:rsid w:val="0090584B"/>
    <w:rsid w:val="00907711"/>
    <w:rsid w:val="00913046"/>
    <w:rsid w:val="009132A7"/>
    <w:rsid w:val="009158EB"/>
    <w:rsid w:val="0092383B"/>
    <w:rsid w:val="009243AD"/>
    <w:rsid w:val="0092560F"/>
    <w:rsid w:val="0093107B"/>
    <w:rsid w:val="00931264"/>
    <w:rsid w:val="00931EC2"/>
    <w:rsid w:val="00941842"/>
    <w:rsid w:val="00941C5A"/>
    <w:rsid w:val="00945D5A"/>
    <w:rsid w:val="00946E8A"/>
    <w:rsid w:val="009524A3"/>
    <w:rsid w:val="00956715"/>
    <w:rsid w:val="0096068A"/>
    <w:rsid w:val="00960B6B"/>
    <w:rsid w:val="00971A0D"/>
    <w:rsid w:val="00974E49"/>
    <w:rsid w:val="00977E2A"/>
    <w:rsid w:val="009873C6"/>
    <w:rsid w:val="009873E3"/>
    <w:rsid w:val="0099216D"/>
    <w:rsid w:val="00992BCE"/>
    <w:rsid w:val="009A6B33"/>
    <w:rsid w:val="009B21D9"/>
    <w:rsid w:val="009B75C8"/>
    <w:rsid w:val="009C2271"/>
    <w:rsid w:val="009C68A7"/>
    <w:rsid w:val="009C7C93"/>
    <w:rsid w:val="009D1FE0"/>
    <w:rsid w:val="009D2CDC"/>
    <w:rsid w:val="009D48FA"/>
    <w:rsid w:val="009E2314"/>
    <w:rsid w:val="009E2C17"/>
    <w:rsid w:val="009E6766"/>
    <w:rsid w:val="009F6080"/>
    <w:rsid w:val="009F7492"/>
    <w:rsid w:val="00A00313"/>
    <w:rsid w:val="00A0542C"/>
    <w:rsid w:val="00A071CA"/>
    <w:rsid w:val="00A179F9"/>
    <w:rsid w:val="00A20713"/>
    <w:rsid w:val="00A2086D"/>
    <w:rsid w:val="00A22D94"/>
    <w:rsid w:val="00A23BB9"/>
    <w:rsid w:val="00A2514F"/>
    <w:rsid w:val="00A279B9"/>
    <w:rsid w:val="00A27CD4"/>
    <w:rsid w:val="00A3164E"/>
    <w:rsid w:val="00A632A6"/>
    <w:rsid w:val="00A6422C"/>
    <w:rsid w:val="00A65472"/>
    <w:rsid w:val="00A65C0B"/>
    <w:rsid w:val="00A67564"/>
    <w:rsid w:val="00A70BA2"/>
    <w:rsid w:val="00A82D4D"/>
    <w:rsid w:val="00A87684"/>
    <w:rsid w:val="00AA485C"/>
    <w:rsid w:val="00AA6B8A"/>
    <w:rsid w:val="00AA6F07"/>
    <w:rsid w:val="00AA7819"/>
    <w:rsid w:val="00AA783B"/>
    <w:rsid w:val="00AB6B30"/>
    <w:rsid w:val="00AB6FB2"/>
    <w:rsid w:val="00AB73F5"/>
    <w:rsid w:val="00AC2BA9"/>
    <w:rsid w:val="00AC3A9C"/>
    <w:rsid w:val="00AC60BF"/>
    <w:rsid w:val="00AD1DC3"/>
    <w:rsid w:val="00AD59F1"/>
    <w:rsid w:val="00AD7252"/>
    <w:rsid w:val="00AE04E8"/>
    <w:rsid w:val="00AE1E6D"/>
    <w:rsid w:val="00AE3E1E"/>
    <w:rsid w:val="00AE4024"/>
    <w:rsid w:val="00AE5141"/>
    <w:rsid w:val="00AE5971"/>
    <w:rsid w:val="00AE5E55"/>
    <w:rsid w:val="00AE6643"/>
    <w:rsid w:val="00AE7764"/>
    <w:rsid w:val="00AF3D95"/>
    <w:rsid w:val="00AF4E86"/>
    <w:rsid w:val="00AF5E7E"/>
    <w:rsid w:val="00B00498"/>
    <w:rsid w:val="00B00A03"/>
    <w:rsid w:val="00B01F7F"/>
    <w:rsid w:val="00B020B9"/>
    <w:rsid w:val="00B02B5D"/>
    <w:rsid w:val="00B03055"/>
    <w:rsid w:val="00B06B51"/>
    <w:rsid w:val="00B07917"/>
    <w:rsid w:val="00B12394"/>
    <w:rsid w:val="00B12E38"/>
    <w:rsid w:val="00B179DC"/>
    <w:rsid w:val="00B23F27"/>
    <w:rsid w:val="00B30CDC"/>
    <w:rsid w:val="00B31D5A"/>
    <w:rsid w:val="00B32312"/>
    <w:rsid w:val="00B32877"/>
    <w:rsid w:val="00B44A77"/>
    <w:rsid w:val="00B50D15"/>
    <w:rsid w:val="00B50DFD"/>
    <w:rsid w:val="00B515C3"/>
    <w:rsid w:val="00B54D81"/>
    <w:rsid w:val="00B54F77"/>
    <w:rsid w:val="00B61730"/>
    <w:rsid w:val="00B63A7E"/>
    <w:rsid w:val="00B64566"/>
    <w:rsid w:val="00B65F4A"/>
    <w:rsid w:val="00B6641C"/>
    <w:rsid w:val="00B72C33"/>
    <w:rsid w:val="00B762A9"/>
    <w:rsid w:val="00B82059"/>
    <w:rsid w:val="00B82605"/>
    <w:rsid w:val="00B83D10"/>
    <w:rsid w:val="00B8415E"/>
    <w:rsid w:val="00B84924"/>
    <w:rsid w:val="00B95ABC"/>
    <w:rsid w:val="00BA1F86"/>
    <w:rsid w:val="00BA4C77"/>
    <w:rsid w:val="00BA75B9"/>
    <w:rsid w:val="00BB4148"/>
    <w:rsid w:val="00BC0131"/>
    <w:rsid w:val="00BC0B44"/>
    <w:rsid w:val="00BC1438"/>
    <w:rsid w:val="00BC7924"/>
    <w:rsid w:val="00BE0FC6"/>
    <w:rsid w:val="00BE5AF7"/>
    <w:rsid w:val="00BE6BFE"/>
    <w:rsid w:val="00BF053F"/>
    <w:rsid w:val="00BF0778"/>
    <w:rsid w:val="00BF199B"/>
    <w:rsid w:val="00BF366D"/>
    <w:rsid w:val="00BF3AD3"/>
    <w:rsid w:val="00BF3F00"/>
    <w:rsid w:val="00C000E5"/>
    <w:rsid w:val="00C006A2"/>
    <w:rsid w:val="00C030A3"/>
    <w:rsid w:val="00C10CEB"/>
    <w:rsid w:val="00C10EC8"/>
    <w:rsid w:val="00C13FFF"/>
    <w:rsid w:val="00C1477C"/>
    <w:rsid w:val="00C16EA0"/>
    <w:rsid w:val="00C219FF"/>
    <w:rsid w:val="00C23A66"/>
    <w:rsid w:val="00C306CB"/>
    <w:rsid w:val="00C32BA3"/>
    <w:rsid w:val="00C33996"/>
    <w:rsid w:val="00C339EB"/>
    <w:rsid w:val="00C34F75"/>
    <w:rsid w:val="00C409AA"/>
    <w:rsid w:val="00C4251D"/>
    <w:rsid w:val="00C44AAC"/>
    <w:rsid w:val="00C45493"/>
    <w:rsid w:val="00C455D6"/>
    <w:rsid w:val="00C53513"/>
    <w:rsid w:val="00C56684"/>
    <w:rsid w:val="00C579F6"/>
    <w:rsid w:val="00C60F29"/>
    <w:rsid w:val="00C6366D"/>
    <w:rsid w:val="00C641E9"/>
    <w:rsid w:val="00C64EC4"/>
    <w:rsid w:val="00C65A5C"/>
    <w:rsid w:val="00C65AB8"/>
    <w:rsid w:val="00C673B0"/>
    <w:rsid w:val="00C70C47"/>
    <w:rsid w:val="00C714BF"/>
    <w:rsid w:val="00C72167"/>
    <w:rsid w:val="00C86F42"/>
    <w:rsid w:val="00C948F9"/>
    <w:rsid w:val="00C94ADF"/>
    <w:rsid w:val="00C97BEB"/>
    <w:rsid w:val="00CA1E4E"/>
    <w:rsid w:val="00CA26F1"/>
    <w:rsid w:val="00CA5763"/>
    <w:rsid w:val="00CA6441"/>
    <w:rsid w:val="00CA752C"/>
    <w:rsid w:val="00CB3B79"/>
    <w:rsid w:val="00CB55CF"/>
    <w:rsid w:val="00CB745C"/>
    <w:rsid w:val="00CC049E"/>
    <w:rsid w:val="00CC7EE8"/>
    <w:rsid w:val="00CD013D"/>
    <w:rsid w:val="00CD7BD1"/>
    <w:rsid w:val="00CE0E2D"/>
    <w:rsid w:val="00CE20D1"/>
    <w:rsid w:val="00CE5155"/>
    <w:rsid w:val="00CE54BC"/>
    <w:rsid w:val="00CE5AC8"/>
    <w:rsid w:val="00CE6134"/>
    <w:rsid w:val="00CF1D73"/>
    <w:rsid w:val="00CF33D3"/>
    <w:rsid w:val="00CF59CC"/>
    <w:rsid w:val="00CF613E"/>
    <w:rsid w:val="00CF711E"/>
    <w:rsid w:val="00D01B41"/>
    <w:rsid w:val="00D02B81"/>
    <w:rsid w:val="00D03B56"/>
    <w:rsid w:val="00D044DF"/>
    <w:rsid w:val="00D0479D"/>
    <w:rsid w:val="00D05676"/>
    <w:rsid w:val="00D063E2"/>
    <w:rsid w:val="00D0654D"/>
    <w:rsid w:val="00D06B6B"/>
    <w:rsid w:val="00D10F2C"/>
    <w:rsid w:val="00D117D4"/>
    <w:rsid w:val="00D20318"/>
    <w:rsid w:val="00D20894"/>
    <w:rsid w:val="00D32020"/>
    <w:rsid w:val="00D35A01"/>
    <w:rsid w:val="00D44C22"/>
    <w:rsid w:val="00D53274"/>
    <w:rsid w:val="00D5672B"/>
    <w:rsid w:val="00D578E9"/>
    <w:rsid w:val="00D57F98"/>
    <w:rsid w:val="00D6027F"/>
    <w:rsid w:val="00D61977"/>
    <w:rsid w:val="00D709BE"/>
    <w:rsid w:val="00D7127A"/>
    <w:rsid w:val="00D75A81"/>
    <w:rsid w:val="00D75B1C"/>
    <w:rsid w:val="00D75D96"/>
    <w:rsid w:val="00D765CA"/>
    <w:rsid w:val="00D8183C"/>
    <w:rsid w:val="00D819A7"/>
    <w:rsid w:val="00D87E3C"/>
    <w:rsid w:val="00D9230F"/>
    <w:rsid w:val="00D92DB1"/>
    <w:rsid w:val="00D93808"/>
    <w:rsid w:val="00D94EF2"/>
    <w:rsid w:val="00D95B28"/>
    <w:rsid w:val="00DA17CB"/>
    <w:rsid w:val="00DA1E08"/>
    <w:rsid w:val="00DA4225"/>
    <w:rsid w:val="00DA77DA"/>
    <w:rsid w:val="00DB2F4C"/>
    <w:rsid w:val="00DB6A63"/>
    <w:rsid w:val="00DC22CF"/>
    <w:rsid w:val="00DC3CBA"/>
    <w:rsid w:val="00DC542E"/>
    <w:rsid w:val="00DC5581"/>
    <w:rsid w:val="00DC6D4C"/>
    <w:rsid w:val="00DC760F"/>
    <w:rsid w:val="00DE2103"/>
    <w:rsid w:val="00DE26D5"/>
    <w:rsid w:val="00DF3C19"/>
    <w:rsid w:val="00DF6C2E"/>
    <w:rsid w:val="00E02E24"/>
    <w:rsid w:val="00E05000"/>
    <w:rsid w:val="00E05008"/>
    <w:rsid w:val="00E059B9"/>
    <w:rsid w:val="00E1356E"/>
    <w:rsid w:val="00E13F5C"/>
    <w:rsid w:val="00E206BA"/>
    <w:rsid w:val="00E21F76"/>
    <w:rsid w:val="00E23A2E"/>
    <w:rsid w:val="00E261F7"/>
    <w:rsid w:val="00E270FC"/>
    <w:rsid w:val="00E33649"/>
    <w:rsid w:val="00E36042"/>
    <w:rsid w:val="00E36B76"/>
    <w:rsid w:val="00E41B3F"/>
    <w:rsid w:val="00E456A0"/>
    <w:rsid w:val="00E46453"/>
    <w:rsid w:val="00E511D2"/>
    <w:rsid w:val="00E52665"/>
    <w:rsid w:val="00E57923"/>
    <w:rsid w:val="00E735A4"/>
    <w:rsid w:val="00E747CC"/>
    <w:rsid w:val="00E758C6"/>
    <w:rsid w:val="00E76F71"/>
    <w:rsid w:val="00E777F1"/>
    <w:rsid w:val="00E77901"/>
    <w:rsid w:val="00E81A7C"/>
    <w:rsid w:val="00E85263"/>
    <w:rsid w:val="00E87373"/>
    <w:rsid w:val="00E93343"/>
    <w:rsid w:val="00E95D4C"/>
    <w:rsid w:val="00EA0905"/>
    <w:rsid w:val="00EA37F8"/>
    <w:rsid w:val="00EA4F48"/>
    <w:rsid w:val="00EA7616"/>
    <w:rsid w:val="00EA7998"/>
    <w:rsid w:val="00EB3487"/>
    <w:rsid w:val="00EC0821"/>
    <w:rsid w:val="00EC277D"/>
    <w:rsid w:val="00EC2C22"/>
    <w:rsid w:val="00EC778D"/>
    <w:rsid w:val="00EC7CD5"/>
    <w:rsid w:val="00ED24CE"/>
    <w:rsid w:val="00ED4FD7"/>
    <w:rsid w:val="00ED6264"/>
    <w:rsid w:val="00EE1619"/>
    <w:rsid w:val="00EE3BE3"/>
    <w:rsid w:val="00EF34F3"/>
    <w:rsid w:val="00EF7652"/>
    <w:rsid w:val="00F005F5"/>
    <w:rsid w:val="00F0113B"/>
    <w:rsid w:val="00F0197A"/>
    <w:rsid w:val="00F02611"/>
    <w:rsid w:val="00F04CAC"/>
    <w:rsid w:val="00F04F23"/>
    <w:rsid w:val="00F103F8"/>
    <w:rsid w:val="00F12EF8"/>
    <w:rsid w:val="00F145D1"/>
    <w:rsid w:val="00F14884"/>
    <w:rsid w:val="00F16628"/>
    <w:rsid w:val="00F20D19"/>
    <w:rsid w:val="00F307F0"/>
    <w:rsid w:val="00F314F7"/>
    <w:rsid w:val="00F46F90"/>
    <w:rsid w:val="00F512FF"/>
    <w:rsid w:val="00F543E2"/>
    <w:rsid w:val="00F6518D"/>
    <w:rsid w:val="00F65629"/>
    <w:rsid w:val="00F71A11"/>
    <w:rsid w:val="00F71A22"/>
    <w:rsid w:val="00F73580"/>
    <w:rsid w:val="00F806AF"/>
    <w:rsid w:val="00F82482"/>
    <w:rsid w:val="00F85902"/>
    <w:rsid w:val="00F877DB"/>
    <w:rsid w:val="00F911C1"/>
    <w:rsid w:val="00F919FE"/>
    <w:rsid w:val="00FA3930"/>
    <w:rsid w:val="00FA6774"/>
    <w:rsid w:val="00FA6998"/>
    <w:rsid w:val="00FA76C1"/>
    <w:rsid w:val="00FB4710"/>
    <w:rsid w:val="00FB5233"/>
    <w:rsid w:val="00FB590A"/>
    <w:rsid w:val="00FC40D7"/>
    <w:rsid w:val="00FD37E8"/>
    <w:rsid w:val="00FD5843"/>
    <w:rsid w:val="00FE0FAD"/>
    <w:rsid w:val="00FE3581"/>
    <w:rsid w:val="00FE35EC"/>
    <w:rsid w:val="00FE415A"/>
    <w:rsid w:val="00FE6CD9"/>
    <w:rsid w:val="00FF0BCC"/>
    <w:rsid w:val="00FF0C7C"/>
    <w:rsid w:val="00FF1078"/>
    <w:rsid w:val="00FF2F9C"/>
    <w:rsid w:val="00FF3A97"/>
    <w:rsid w:val="00FF43C6"/>
    <w:rsid w:val="00FF4FA3"/>
    <w:rsid w:val="00FF6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30CEE-43AB-4506-877B-B1C79859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E1C"/>
    <w:pPr>
      <w:tabs>
        <w:tab w:val="center" w:pos="4153"/>
        <w:tab w:val="right" w:pos="8306"/>
      </w:tabs>
      <w:snapToGrid w:val="0"/>
    </w:pPr>
    <w:rPr>
      <w:sz w:val="20"/>
      <w:szCs w:val="20"/>
    </w:rPr>
  </w:style>
  <w:style w:type="character" w:customStyle="1" w:styleId="a4">
    <w:name w:val="頁首 字元"/>
    <w:basedOn w:val="a0"/>
    <w:link w:val="a3"/>
    <w:uiPriority w:val="99"/>
    <w:rsid w:val="00385E1C"/>
    <w:rPr>
      <w:sz w:val="20"/>
      <w:szCs w:val="20"/>
    </w:rPr>
  </w:style>
  <w:style w:type="paragraph" w:styleId="a5">
    <w:name w:val="footer"/>
    <w:basedOn w:val="a"/>
    <w:link w:val="a6"/>
    <w:uiPriority w:val="99"/>
    <w:unhideWhenUsed/>
    <w:rsid w:val="00385E1C"/>
    <w:pPr>
      <w:tabs>
        <w:tab w:val="center" w:pos="4153"/>
        <w:tab w:val="right" w:pos="8306"/>
      </w:tabs>
      <w:snapToGrid w:val="0"/>
    </w:pPr>
    <w:rPr>
      <w:sz w:val="20"/>
      <w:szCs w:val="20"/>
    </w:rPr>
  </w:style>
  <w:style w:type="character" w:customStyle="1" w:styleId="a6">
    <w:name w:val="頁尾 字元"/>
    <w:basedOn w:val="a0"/>
    <w:link w:val="a5"/>
    <w:uiPriority w:val="99"/>
    <w:rsid w:val="00385E1C"/>
    <w:rPr>
      <w:sz w:val="20"/>
      <w:szCs w:val="20"/>
    </w:rPr>
  </w:style>
  <w:style w:type="paragraph" w:styleId="a7">
    <w:name w:val="Balloon Text"/>
    <w:basedOn w:val="a"/>
    <w:link w:val="a8"/>
    <w:uiPriority w:val="99"/>
    <w:semiHidden/>
    <w:unhideWhenUsed/>
    <w:rsid w:val="003E121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121C"/>
    <w:rPr>
      <w:rFonts w:asciiTheme="majorHAnsi" w:eastAsiaTheme="majorEastAsia" w:hAnsiTheme="majorHAnsi" w:cstheme="majorBidi"/>
      <w:sz w:val="18"/>
      <w:szCs w:val="18"/>
    </w:rPr>
  </w:style>
  <w:style w:type="paragraph" w:styleId="a9">
    <w:name w:val="List Paragraph"/>
    <w:basedOn w:val="a"/>
    <w:uiPriority w:val="34"/>
    <w:qFormat/>
    <w:rsid w:val="008301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6A4ADC-517C-43F0-B38D-3505DE4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3596</Characters>
  <Application>Microsoft Office Word</Application>
  <DocSecurity>0</DocSecurity>
  <Lines>29</Lines>
  <Paragraphs>8</Paragraphs>
  <ScaleCrop>false</ScaleCrop>
  <Company>OEM</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2017-01-03T09:27:00Z</cp:lastPrinted>
  <dcterms:created xsi:type="dcterms:W3CDTF">2017-01-06T01:50:00Z</dcterms:created>
  <dcterms:modified xsi:type="dcterms:W3CDTF">2017-01-06T01:50:00Z</dcterms:modified>
</cp:coreProperties>
</file>