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4E" w:rsidRPr="0014794E" w:rsidRDefault="0014794E" w:rsidP="0014794E">
      <w:pPr>
        <w:pStyle w:val="a3"/>
        <w:ind w:leftChars="0"/>
        <w:jc w:val="center"/>
        <w:rPr>
          <w:b/>
          <w:szCs w:val="24"/>
        </w:rPr>
      </w:pPr>
      <w:r w:rsidRPr="0014794E">
        <w:rPr>
          <w:rFonts w:hint="eastAsia"/>
          <w:b/>
          <w:sz w:val="36"/>
        </w:rPr>
        <w:t>校務研究資訊平臺–</w:t>
      </w:r>
      <w:r w:rsidRPr="0014794E">
        <w:rPr>
          <w:rFonts w:hint="eastAsia"/>
          <w:b/>
          <w:sz w:val="36"/>
        </w:rPr>
        <w:t>IR</w:t>
      </w:r>
      <w:r w:rsidRPr="0014794E">
        <w:rPr>
          <w:rFonts w:hint="eastAsia"/>
          <w:b/>
          <w:sz w:val="36"/>
        </w:rPr>
        <w:t>議題一覽表</w:t>
      </w:r>
    </w:p>
    <w:p w:rsidR="000A7A2E" w:rsidRPr="000A7A2E" w:rsidRDefault="000A7A2E" w:rsidP="0014794E">
      <w:pPr>
        <w:pStyle w:val="a3"/>
        <w:numPr>
          <w:ilvl w:val="0"/>
          <w:numId w:val="1"/>
        </w:numPr>
        <w:ind w:left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用</w:t>
      </w:r>
      <w:r w:rsidRPr="000A7A2E">
        <w:rPr>
          <w:rFonts w:hint="eastAsia"/>
          <w:b/>
          <w:sz w:val="24"/>
          <w:szCs w:val="24"/>
          <w:shd w:val="clear" w:color="auto" w:fill="FFF2CC" w:themeFill="accent4" w:themeFillTint="33"/>
        </w:rPr>
        <w:t>黃底</w:t>
      </w:r>
      <w:r>
        <w:rPr>
          <w:rFonts w:hint="eastAsia"/>
          <w:b/>
          <w:sz w:val="24"/>
          <w:szCs w:val="24"/>
        </w:rPr>
        <w:t>標註議題為本校與它校比較之議題</w:t>
      </w:r>
      <w:r w:rsidR="00E0203C">
        <w:rPr>
          <w:rFonts w:hint="eastAsia"/>
          <w:b/>
          <w:sz w:val="24"/>
          <w:szCs w:val="24"/>
        </w:rPr>
        <w:t>/</w:t>
      </w:r>
      <w:r w:rsidR="00E0203C" w:rsidRPr="007D093C">
        <w:rPr>
          <w:rFonts w:hint="eastAsia"/>
          <w:b/>
          <w:sz w:val="24"/>
          <w:szCs w:val="24"/>
          <w:shd w:val="clear" w:color="auto" w:fill="B7D8A1" w:themeFill="accent5" w:themeFillTint="66"/>
        </w:rPr>
        <w:t>加</w:t>
      </w:r>
      <w:r w:rsidR="00E0203C" w:rsidRPr="007D093C">
        <w:rPr>
          <w:rFonts w:hint="eastAsia"/>
          <w:b/>
          <w:sz w:val="24"/>
          <w:szCs w:val="24"/>
          <w:shd w:val="clear" w:color="auto" w:fill="B7D8A1" w:themeFill="accent5" w:themeFillTint="66"/>
        </w:rPr>
        <w:t>*</w:t>
      </w:r>
      <w:r w:rsidR="00E0203C">
        <w:rPr>
          <w:rFonts w:hint="eastAsia"/>
          <w:b/>
          <w:sz w:val="24"/>
          <w:szCs w:val="24"/>
        </w:rPr>
        <w:t>則本校與它校的</w:t>
      </w:r>
      <w:r w:rsidR="00E0203C" w:rsidRPr="002C1E53">
        <w:rPr>
          <w:rFonts w:hint="eastAsia"/>
          <w:b/>
          <w:sz w:val="24"/>
          <w:szCs w:val="24"/>
          <w:shd w:val="clear" w:color="auto" w:fill="B7D8A1" w:themeFill="accent5" w:themeFillTint="66"/>
        </w:rPr>
        <w:t>同系所</w:t>
      </w:r>
      <w:r w:rsidR="00E0203C">
        <w:rPr>
          <w:rFonts w:hint="eastAsia"/>
          <w:b/>
          <w:sz w:val="24"/>
          <w:szCs w:val="24"/>
        </w:rPr>
        <w:t>比較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9A1B74" w:rsidRPr="00723296" w:rsidTr="00870929">
        <w:tc>
          <w:tcPr>
            <w:tcW w:w="10881" w:type="dxa"/>
            <w:gridSpan w:val="2"/>
            <w:shd w:val="clear" w:color="auto" w:fill="BDD6EE" w:themeFill="accent1" w:themeFillTint="66"/>
          </w:tcPr>
          <w:p w:rsidR="009A1B74" w:rsidRPr="00E0203C" w:rsidRDefault="00870929" w:rsidP="0087092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870929">
              <w:rPr>
                <w:rFonts w:asciiTheme="majorHAnsi" w:hAnsiTheme="majorHAnsi" w:cstheme="majorHAnsi" w:hint="eastAsia"/>
                <w:b/>
                <w:sz w:val="40"/>
                <w:szCs w:val="24"/>
              </w:rPr>
              <w:t>Table1:</w:t>
            </w:r>
            <w:r>
              <w:rPr>
                <w:rFonts w:asciiTheme="majorHAnsi" w:hAnsiTheme="majorHAnsi" w:cstheme="majorHAnsi" w:hint="eastAsia"/>
                <w:b/>
                <w:sz w:val="40"/>
                <w:szCs w:val="24"/>
              </w:rPr>
              <w:t>公開資訊</w:t>
            </w:r>
          </w:p>
        </w:tc>
      </w:tr>
      <w:tr w:rsidR="009A1B74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9A1B74" w:rsidRPr="00E0203C" w:rsidRDefault="00870929" w:rsidP="00012C69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32"/>
                <w:szCs w:val="24"/>
              </w:rPr>
              <w:t>1-1</w:t>
            </w:r>
            <w:r w:rsidR="009A1B74" w:rsidRPr="00E0203C">
              <w:rPr>
                <w:rFonts w:asciiTheme="majorHAnsi" w:hAnsiTheme="majorHAnsi" w:cstheme="majorHAnsi"/>
                <w:b/>
                <w:sz w:val="32"/>
                <w:szCs w:val="24"/>
              </w:rPr>
              <w:t>教務面</w:t>
            </w:r>
          </w:p>
        </w:tc>
      </w:tr>
      <w:tr w:rsidR="00012C69" w:rsidRPr="00723296" w:rsidTr="00E0203C">
        <w:tc>
          <w:tcPr>
            <w:tcW w:w="5440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學生數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休學分析</w:t>
            </w:r>
          </w:p>
        </w:tc>
      </w:tr>
      <w:tr w:rsidR="00012C69" w:rsidRPr="00723296" w:rsidTr="00995AFD">
        <w:tc>
          <w:tcPr>
            <w:tcW w:w="5440" w:type="dxa"/>
            <w:shd w:val="clear" w:color="auto" w:fill="FFF2CC" w:themeFill="accent4" w:themeFillTint="33"/>
          </w:tcPr>
          <w:p w:rsidR="00012C69" w:rsidRPr="00723296" w:rsidRDefault="00995AFD" w:rsidP="00B5150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日間學制學士班及專科正式學籍在學學生人數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退學分析</w:t>
            </w:r>
          </w:p>
        </w:tc>
        <w:bookmarkStart w:id="0" w:name="_GoBack"/>
        <w:bookmarkEnd w:id="0"/>
      </w:tr>
      <w:tr w:rsidR="002A202B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2A202B" w:rsidRPr="00E0203C" w:rsidRDefault="00870929" w:rsidP="002A202B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color w:val="000000"/>
                <w:sz w:val="32"/>
                <w:szCs w:val="24"/>
              </w:rPr>
              <w:t>1-2</w:t>
            </w:r>
            <w:r w:rsidR="002A202B" w:rsidRPr="00E0203C">
              <w:rPr>
                <w:rFonts w:asciiTheme="majorHAnsi" w:hAnsiTheme="majorHAnsi" w:cstheme="majorHAnsi"/>
                <w:b/>
                <w:color w:val="000000"/>
                <w:sz w:val="32"/>
                <w:szCs w:val="24"/>
              </w:rPr>
              <w:t>學務面</w:t>
            </w:r>
          </w:p>
        </w:tc>
      </w:tr>
      <w:tr w:rsidR="002A202B" w:rsidRPr="00723296" w:rsidTr="00E0203C">
        <w:tc>
          <w:tcPr>
            <w:tcW w:w="5440" w:type="dxa"/>
          </w:tcPr>
          <w:p w:rsidR="002A202B" w:rsidRPr="00723296" w:rsidRDefault="002A202B" w:rsidP="00B5150A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應屆畢業生流向調查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2A202B" w:rsidRPr="00723296" w:rsidRDefault="002A202B" w:rsidP="00B5150A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平均每位專任輔導人員服務在學學生數</w:t>
            </w:r>
          </w:p>
        </w:tc>
      </w:tr>
      <w:tr w:rsidR="002A202B" w:rsidRPr="00723296" w:rsidTr="00E0203C">
        <w:tc>
          <w:tcPr>
            <w:tcW w:w="5440" w:type="dxa"/>
            <w:shd w:val="clear" w:color="auto" w:fill="FFF2CC" w:themeFill="accent4" w:themeFillTint="33"/>
          </w:tcPr>
          <w:p w:rsidR="002A202B" w:rsidRPr="00723296" w:rsidRDefault="002A202B" w:rsidP="00B5150A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學校自籌經費助學措施之金額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2A202B" w:rsidRPr="00723296" w:rsidRDefault="002A202B" w:rsidP="00B5150A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本國學生出國進修人數比率</w:t>
            </w:r>
          </w:p>
        </w:tc>
      </w:tr>
      <w:tr w:rsidR="002A202B" w:rsidRPr="00723296" w:rsidTr="00E0203C">
        <w:tc>
          <w:tcPr>
            <w:tcW w:w="5440" w:type="dxa"/>
            <w:shd w:val="clear" w:color="auto" w:fill="FFF2CC" w:themeFill="accent4" w:themeFillTint="33"/>
          </w:tcPr>
          <w:p w:rsidR="002A202B" w:rsidRPr="00723296" w:rsidRDefault="002A202B" w:rsidP="00B5150A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獲弱勢學生助學計畫補助之學生數及比率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2A202B" w:rsidRPr="00723296" w:rsidRDefault="002A202B" w:rsidP="00B5150A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</w:rPr>
            </w:pPr>
          </w:p>
        </w:tc>
      </w:tr>
      <w:tr w:rsidR="002A202B" w:rsidRPr="00723296" w:rsidTr="00E0203C">
        <w:tc>
          <w:tcPr>
            <w:tcW w:w="5440" w:type="dxa"/>
            <w:shd w:val="clear" w:color="auto" w:fill="FFF2CC" w:themeFill="accent4" w:themeFillTint="33"/>
          </w:tcPr>
          <w:p w:rsidR="002A202B" w:rsidRPr="00723296" w:rsidRDefault="002A202B" w:rsidP="00D64FF1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本國學生出國進修人數及比率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日間學制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</w:rPr>
              <w:t>)</w:t>
            </w:r>
            <w:r w:rsidR="00D64FF1"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2A202B" w:rsidRPr="0014794E" w:rsidRDefault="002A202B" w:rsidP="00B5150A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12C69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012C69" w:rsidRPr="00E0203C" w:rsidRDefault="00870929" w:rsidP="00012C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/>
                <w:sz w:val="32"/>
                <w:szCs w:val="24"/>
              </w:rPr>
              <w:t>1-3</w:t>
            </w:r>
            <w:r w:rsidR="00012C69" w:rsidRPr="00E0203C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24"/>
              </w:rPr>
              <w:t>人事面</w:t>
            </w:r>
          </w:p>
        </w:tc>
      </w:tr>
      <w:tr w:rsidR="00012C69" w:rsidRPr="00723296" w:rsidTr="00E0203C">
        <w:tc>
          <w:tcPr>
            <w:tcW w:w="5440" w:type="dxa"/>
          </w:tcPr>
          <w:p w:rsidR="00012C69" w:rsidRPr="00723296" w:rsidRDefault="00012C69" w:rsidP="00B5150A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本校教職員工數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專任教師總數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盒狀圖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  <w:r w:rsidR="00236284"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2C69" w:rsidRPr="00723296" w:rsidTr="00E0203C">
        <w:tc>
          <w:tcPr>
            <w:tcW w:w="5440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專任教師數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折線圖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生職比</w:t>
            </w:r>
          </w:p>
        </w:tc>
      </w:tr>
      <w:tr w:rsidR="00012C69" w:rsidRPr="00723296" w:rsidTr="00E0203C">
        <w:tc>
          <w:tcPr>
            <w:tcW w:w="5440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師職比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職員人數</w:t>
            </w:r>
          </w:p>
        </w:tc>
      </w:tr>
      <w:tr w:rsidR="00012C69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012C69" w:rsidRPr="00E0203C" w:rsidRDefault="00870929" w:rsidP="00012C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/>
                <w:sz w:val="32"/>
                <w:szCs w:val="24"/>
              </w:rPr>
              <w:t>1-4</w:t>
            </w:r>
            <w:r w:rsidR="00012C69" w:rsidRPr="00E0203C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24"/>
              </w:rPr>
              <w:t>研究面</w:t>
            </w:r>
          </w:p>
        </w:tc>
      </w:tr>
      <w:tr w:rsidR="00012C69" w:rsidRPr="00723296" w:rsidTr="00E0203C">
        <w:tc>
          <w:tcPr>
            <w:tcW w:w="5440" w:type="dxa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各類計畫經費統計</w:t>
            </w:r>
          </w:p>
        </w:tc>
        <w:tc>
          <w:tcPr>
            <w:tcW w:w="5441" w:type="dxa"/>
          </w:tcPr>
          <w:p w:rsidR="00012C69" w:rsidRPr="00723296" w:rsidRDefault="00012C69" w:rsidP="00012C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2C69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012C69" w:rsidRPr="00E0203C" w:rsidRDefault="00870929" w:rsidP="00012C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/>
                <w:sz w:val="32"/>
                <w:szCs w:val="24"/>
              </w:rPr>
              <w:t>1-5</w:t>
            </w:r>
            <w:r w:rsidR="00012C69" w:rsidRPr="00E0203C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24"/>
              </w:rPr>
              <w:t>財務面</w:t>
            </w:r>
          </w:p>
        </w:tc>
      </w:tr>
      <w:tr w:rsidR="00012C69" w:rsidRPr="00723296" w:rsidTr="00995AFD">
        <w:tc>
          <w:tcPr>
            <w:tcW w:w="5440" w:type="dxa"/>
            <w:shd w:val="clear" w:color="auto" w:fill="B7D8A1" w:themeFill="accent5" w:themeFillTint="66"/>
          </w:tcPr>
          <w:p w:rsidR="00012C69" w:rsidRPr="00723296" w:rsidRDefault="00995AFD" w:rsidP="00B5150A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*</w:t>
            </w: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日間學士學雜費收費基準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學雜費收入占總收入比率</w:t>
            </w:r>
          </w:p>
        </w:tc>
      </w:tr>
      <w:tr w:rsidR="00012C69" w:rsidRPr="00723296" w:rsidTr="00E0203C">
        <w:tc>
          <w:tcPr>
            <w:tcW w:w="5440" w:type="dxa"/>
            <w:shd w:val="clear" w:color="auto" w:fill="FFF2CC" w:themeFill="accent4" w:themeFillTint="33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高教深耕計畫核定經費</w:t>
            </w:r>
          </w:p>
        </w:tc>
        <w:tc>
          <w:tcPr>
            <w:tcW w:w="5441" w:type="dxa"/>
          </w:tcPr>
          <w:p w:rsidR="00012C69" w:rsidRPr="00D64FF1" w:rsidRDefault="00012C69" w:rsidP="00B5150A">
            <w:pPr>
              <w:pStyle w:val="a3"/>
              <w:ind w:leftChars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2C69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012C69" w:rsidRPr="00E0203C" w:rsidRDefault="00870929" w:rsidP="00012C69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/>
                <w:sz w:val="32"/>
                <w:szCs w:val="24"/>
              </w:rPr>
              <w:t>1-6</w:t>
            </w:r>
            <w:r w:rsidR="00012C69" w:rsidRPr="00E0203C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24"/>
              </w:rPr>
              <w:t>學校面</w:t>
            </w:r>
          </w:p>
        </w:tc>
      </w:tr>
      <w:tr w:rsidR="00012C69" w:rsidRPr="00723296" w:rsidTr="00E0203C">
        <w:tc>
          <w:tcPr>
            <w:tcW w:w="5440" w:type="dxa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圖書館服務成果與館藏統計</w:t>
            </w:r>
          </w:p>
        </w:tc>
        <w:tc>
          <w:tcPr>
            <w:tcW w:w="5441" w:type="dxa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本校校地面積</w:t>
            </w:r>
          </w:p>
        </w:tc>
      </w:tr>
      <w:tr w:rsidR="00012C69" w:rsidRPr="00723296" w:rsidTr="00E0203C">
        <w:tc>
          <w:tcPr>
            <w:tcW w:w="5440" w:type="dxa"/>
          </w:tcPr>
          <w:p w:rsidR="00012C69" w:rsidRPr="00723296" w:rsidRDefault="00012C69" w:rsidP="00B5150A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圖書館經費統計</w:t>
            </w:r>
          </w:p>
        </w:tc>
        <w:tc>
          <w:tcPr>
            <w:tcW w:w="5441" w:type="dxa"/>
          </w:tcPr>
          <w:p w:rsidR="00012C69" w:rsidRPr="00723296" w:rsidRDefault="00012C69" w:rsidP="00B5150A">
            <w:pPr>
              <w:pStyle w:val="a3"/>
              <w:widowControl/>
              <w:ind w:leftChars="0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</w:tr>
    </w:tbl>
    <w:p w:rsidR="007D093C" w:rsidRDefault="007D093C">
      <w:pPr>
        <w:widowControl/>
        <w:rPr>
          <w:b/>
          <w:sz w:val="32"/>
        </w:rPr>
      </w:pPr>
    </w:p>
    <w:p w:rsidR="007D093C" w:rsidRDefault="007D093C">
      <w:pPr>
        <w:widowControl/>
        <w:rPr>
          <w:b/>
          <w:sz w:val="32"/>
        </w:rPr>
      </w:pPr>
      <w:r>
        <w:rPr>
          <w:b/>
          <w:sz w:val="32"/>
        </w:rPr>
        <w:br w:type="page"/>
      </w:r>
    </w:p>
    <w:p w:rsidR="00012C69" w:rsidRDefault="00012C69">
      <w:pPr>
        <w:widowControl/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012C69" w:rsidRPr="00870929" w:rsidTr="00870929">
        <w:tc>
          <w:tcPr>
            <w:tcW w:w="10881" w:type="dxa"/>
            <w:gridSpan w:val="2"/>
            <w:shd w:val="clear" w:color="auto" w:fill="BDD6EE" w:themeFill="accent1" w:themeFillTint="66"/>
          </w:tcPr>
          <w:p w:rsidR="00012C69" w:rsidRPr="00870929" w:rsidRDefault="00870929" w:rsidP="00870929">
            <w:pPr>
              <w:jc w:val="center"/>
              <w:rPr>
                <w:rFonts w:asciiTheme="majorHAnsi" w:hAnsiTheme="majorHAnsi" w:cstheme="majorHAnsi"/>
                <w:b/>
                <w:sz w:val="40"/>
                <w:szCs w:val="24"/>
              </w:rPr>
            </w:pPr>
            <w:r w:rsidRPr="00870929">
              <w:rPr>
                <w:rFonts w:asciiTheme="majorHAnsi" w:hAnsiTheme="majorHAnsi" w:cstheme="majorHAnsi" w:hint="eastAsia"/>
                <w:b/>
                <w:sz w:val="40"/>
                <w:szCs w:val="24"/>
              </w:rPr>
              <w:t>Table</w:t>
            </w:r>
            <w:r>
              <w:rPr>
                <w:rFonts w:asciiTheme="majorHAnsi" w:hAnsiTheme="majorHAnsi" w:cstheme="majorHAnsi"/>
                <w:b/>
                <w:sz w:val="40"/>
                <w:szCs w:val="24"/>
              </w:rPr>
              <w:t>2</w:t>
            </w:r>
            <w:r w:rsidRPr="00870929">
              <w:rPr>
                <w:rFonts w:asciiTheme="majorHAnsi" w:hAnsiTheme="majorHAnsi" w:cstheme="majorHAnsi" w:hint="eastAsia"/>
                <w:b/>
                <w:sz w:val="40"/>
                <w:szCs w:val="24"/>
              </w:rPr>
              <w:t>:</w:t>
            </w:r>
            <w:r>
              <w:rPr>
                <w:rFonts w:asciiTheme="majorHAnsi" w:hAnsiTheme="majorHAnsi" w:cstheme="majorHAnsi" w:hint="eastAsia"/>
                <w:b/>
                <w:sz w:val="40"/>
                <w:szCs w:val="24"/>
              </w:rPr>
              <w:t>內部資訊</w:t>
            </w:r>
            <w:r w:rsidRPr="00870929">
              <w:rPr>
                <w:rFonts w:asciiTheme="majorHAnsi" w:hAnsiTheme="majorHAnsi" w:cstheme="majorHAnsi" w:hint="eastAsia"/>
                <w:b/>
                <w:sz w:val="32"/>
                <w:szCs w:val="24"/>
              </w:rPr>
              <w:t>（僅限本校教職員工或特定單位）</w:t>
            </w:r>
          </w:p>
        </w:tc>
      </w:tr>
      <w:tr w:rsidR="00012C69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012C69" w:rsidRPr="00E0203C" w:rsidRDefault="00870929" w:rsidP="00E17774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32"/>
                <w:szCs w:val="24"/>
              </w:rPr>
              <w:t>2-1</w:t>
            </w:r>
            <w:r w:rsidR="00012C69" w:rsidRPr="00E0203C">
              <w:rPr>
                <w:rFonts w:asciiTheme="majorHAnsi" w:hAnsiTheme="majorHAnsi" w:cstheme="majorHAnsi"/>
                <w:b/>
                <w:sz w:val="32"/>
                <w:szCs w:val="24"/>
              </w:rPr>
              <w:t>教務面</w:t>
            </w:r>
          </w:p>
        </w:tc>
      </w:tr>
      <w:tr w:rsidR="00A14BC8" w:rsidRPr="00723296" w:rsidTr="007D09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教室資源使用節次分布狀況</w:t>
            </w:r>
          </w:p>
        </w:tc>
        <w:tc>
          <w:tcPr>
            <w:tcW w:w="5441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區域高中休退學率</w:t>
            </w:r>
          </w:p>
        </w:tc>
      </w:tr>
      <w:tr w:rsidR="00A14BC8" w:rsidRPr="00723296" w:rsidTr="007D09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畢業高中生來源分布</w:t>
            </w:r>
          </w:p>
        </w:tc>
        <w:tc>
          <w:tcPr>
            <w:tcW w:w="5441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學習成效分析</w:t>
            </w:r>
          </w:p>
        </w:tc>
      </w:tr>
      <w:tr w:rsidR="00A14BC8" w:rsidRPr="00723296" w:rsidTr="007D09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各系所高中來源人數分布</w:t>
            </w:r>
          </w:p>
        </w:tc>
        <w:tc>
          <w:tcPr>
            <w:tcW w:w="5441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通識選課分析</w:t>
            </w:r>
          </w:p>
        </w:tc>
      </w:tr>
      <w:tr w:rsidR="00A14BC8" w:rsidRPr="00E0203C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高中來源人數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日間學制學士班及專科新生註冊率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不含境外學生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  <w:r w:rsidR="00236284"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各高中入學後的班排與人數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日間學制學士班及專科新生註冊率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含境外學生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  <w:r w:rsidR="00236284"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eastAsia="細明體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入學</w:t>
            </w:r>
            <w:r w:rsidRPr="00723296">
              <w:rPr>
                <w:rFonts w:asciiTheme="majorHAnsi" w:eastAsia="細明體" w:hAnsiTheme="majorHAnsi" w:cstheme="majorHAnsi"/>
                <w:color w:val="000000"/>
                <w:sz w:val="24"/>
                <w:szCs w:val="24"/>
              </w:rPr>
              <w:t>PR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值於大學成績中位數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日間學制學士班及專科境外新生實際註冊人數占總核定人數比率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各高中於大學學期成績與人數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日間學制學士班及專科休學人數比率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各系所大學平均分數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三大入學管道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日間學制學士班及專科復學人數占前一年度休學總人數比率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各學院入學後學生成績表現比較分析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日間學制學士班及專科退學人數比率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入學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值於大學平均分數與人數統計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日間學制學士班及專科延修人數比率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各高中於大學成績人數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日間學制生師比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重點與非重點高中學生於大學平均學期成績比較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師系比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歷年離島入學人數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生系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所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比</w:t>
            </w:r>
          </w:p>
        </w:tc>
      </w:tr>
      <w:tr w:rsidR="00A14BC8" w:rsidRPr="00723296" w:rsidTr="00E0203C">
        <w:tc>
          <w:tcPr>
            <w:tcW w:w="5440" w:type="dxa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各高中於大學成績分布與人數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三大入學管道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A14BC8" w:rsidRPr="00723296" w:rsidRDefault="00A14BC8" w:rsidP="00B5150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日間學制學士班及專科就學穩定度</w:t>
            </w:r>
          </w:p>
        </w:tc>
      </w:tr>
      <w:tr w:rsidR="00812F8A" w:rsidRPr="00723296" w:rsidTr="00CA4759">
        <w:trPr>
          <w:trHeight w:val="468"/>
        </w:trPr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入學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值與大學學期成績分布比較</w:t>
            </w:r>
          </w:p>
        </w:tc>
        <w:tc>
          <w:tcPr>
            <w:tcW w:w="5441" w:type="dxa"/>
            <w:shd w:val="clear" w:color="auto" w:fill="B7D8A1" w:themeFill="accent5" w:themeFillTint="66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0203C">
              <w:rPr>
                <w:rFonts w:asciiTheme="majorHAnsi" w:hAnsiTheme="majorHAnsi" w:cstheme="majorHAnsi" w:hint="eastAsia"/>
                <w:color w:val="000000"/>
                <w:sz w:val="32"/>
                <w:szCs w:val="24"/>
              </w:rPr>
              <w:t>*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各校各系所學生數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各高中於大學學期成績與人數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以各學院統計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各校新生註冊率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各區域高中入學率與休退學率</w:t>
            </w:r>
          </w:p>
        </w:tc>
        <w:tc>
          <w:tcPr>
            <w:tcW w:w="5441" w:type="dxa"/>
            <w:shd w:val="clear" w:color="auto" w:fill="B7D8A1" w:themeFill="accent5" w:themeFillTint="66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0203C">
              <w:rPr>
                <w:rFonts w:asciiTheme="majorHAnsi" w:hAnsiTheme="majorHAnsi" w:cstheme="majorHAnsi" w:hint="eastAsia"/>
                <w:color w:val="000000"/>
                <w:sz w:val="32"/>
                <w:szCs w:val="24"/>
              </w:rPr>
              <w:t>*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各校各系所新生註冊率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各高中必修學科成績</w:t>
            </w:r>
          </w:p>
        </w:tc>
        <w:tc>
          <w:tcPr>
            <w:tcW w:w="5441" w:type="dxa"/>
            <w:shd w:val="clear" w:color="auto" w:fill="B7D8A1" w:themeFill="accent5" w:themeFillTint="66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0203C">
              <w:rPr>
                <w:rFonts w:asciiTheme="majorHAnsi" w:hAnsiTheme="majorHAnsi" w:cstheme="majorHAnsi" w:hint="eastAsia"/>
                <w:color w:val="000000"/>
                <w:sz w:val="32"/>
                <w:szCs w:val="24"/>
              </w:rPr>
              <w:t>*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各校學制學生就學穩定率</w:t>
            </w:r>
          </w:p>
        </w:tc>
      </w:tr>
      <w:tr w:rsidR="00812F8A" w:rsidRPr="00723296" w:rsidTr="008724E6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入學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值於大學班排</w:t>
            </w:r>
          </w:p>
        </w:tc>
        <w:tc>
          <w:tcPr>
            <w:tcW w:w="5441" w:type="dxa"/>
            <w:shd w:val="clear" w:color="auto" w:fill="auto"/>
          </w:tcPr>
          <w:p w:rsidR="00812F8A" w:rsidRPr="00EE5CD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8724E6">
              <w:rPr>
                <w:rFonts w:asciiTheme="majorHAnsi" w:hAnsiTheme="majorHAnsi" w:cstheme="majorHAnsi"/>
                <w:sz w:val="24"/>
                <w:szCs w:val="24"/>
              </w:rPr>
              <w:t>本校休退學因素分析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區域高中就學穩定度與學業表現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各系所休退學原因排名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分數及成績分布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休退學人數與學年平均成績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各高中於各學院平均學期成績與人數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各學院休退學趨勢與三大入學管道平均成績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實施會考前分數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歷年休退學人數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實施會考後分數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休退學率比較分析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實施會考前後不及格率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歷年退學率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進階必修科目分析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重點高中休退學率及在校學期成績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各系所休退學率</w:t>
            </w:r>
          </w:p>
        </w:tc>
        <w:tc>
          <w:tcPr>
            <w:tcW w:w="5441" w:type="dxa"/>
            <w:shd w:val="clear" w:color="auto" w:fill="B7D8A1" w:themeFill="accent5" w:themeFillTint="66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0203C">
              <w:rPr>
                <w:rFonts w:asciiTheme="majorHAnsi" w:hAnsiTheme="majorHAnsi" w:cstheme="majorHAnsi" w:hint="eastAsia"/>
                <w:color w:val="000000"/>
                <w:sz w:val="32"/>
                <w:szCs w:val="24"/>
              </w:rPr>
              <w:t>*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各校各系所修讀輔系、雙主修人數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休退學原因與人數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各校生師比</w:t>
            </w:r>
          </w:p>
        </w:tc>
      </w:tr>
      <w:tr w:rsidR="00812F8A" w:rsidRPr="00723296" w:rsidTr="00812F8A">
        <w:tc>
          <w:tcPr>
            <w:tcW w:w="5440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教師教學評量平均分數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各學院停開、新開課程數</w:t>
            </w:r>
          </w:p>
        </w:tc>
      </w:tr>
      <w:tr w:rsidR="00812F8A" w:rsidRPr="00723296" w:rsidTr="00812F8A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系所學年學時概覽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教學能量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全校及各系生師比</w:t>
            </w:r>
          </w:p>
        </w:tc>
        <w:tc>
          <w:tcPr>
            <w:tcW w:w="5441" w:type="dxa"/>
          </w:tcPr>
          <w:p w:rsidR="00812F8A" w:rsidRPr="0014794E" w:rsidRDefault="0014794E" w:rsidP="0014794E">
            <w:pPr>
              <w:pStyle w:val="a3"/>
              <w:widowControl/>
              <w:numPr>
                <w:ilvl w:val="0"/>
                <w:numId w:val="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94E"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碩博士班畢業學校與地區來源分析</w:t>
            </w:r>
          </w:p>
        </w:tc>
      </w:tr>
      <w:tr w:rsidR="00812F8A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812F8A" w:rsidRPr="00E0203C" w:rsidRDefault="00870929" w:rsidP="00812F8A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color w:val="000000"/>
                <w:sz w:val="32"/>
                <w:szCs w:val="24"/>
              </w:rPr>
              <w:t>2-2</w:t>
            </w:r>
            <w:r w:rsidR="00812F8A" w:rsidRPr="00E0203C">
              <w:rPr>
                <w:rFonts w:asciiTheme="majorHAnsi" w:hAnsiTheme="majorHAnsi" w:cstheme="majorHAnsi"/>
                <w:b/>
                <w:color w:val="000000"/>
                <w:sz w:val="32"/>
                <w:szCs w:val="24"/>
              </w:rPr>
              <w:t>學務面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獲獎助學金學生分析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弱勢生人數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獲獎助學金學生於未來兩學期內休退學比率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經文不利生休退學人數及原因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學生參與社團之學習表現</w:t>
            </w:r>
          </w:p>
        </w:tc>
        <w:tc>
          <w:tcPr>
            <w:tcW w:w="5441" w:type="dxa"/>
          </w:tcPr>
          <w:p w:rsidR="00812F8A" w:rsidRPr="00812F8A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入學後經濟不利新生實際註冊率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國際生分析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各院碩班續留狀況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學生修業時間長度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</w:tr>
      <w:tr w:rsidR="00812F8A" w:rsidRPr="00723296" w:rsidTr="00812F8A">
        <w:trPr>
          <w:trHeight w:val="384"/>
        </w:trPr>
        <w:tc>
          <w:tcPr>
            <w:tcW w:w="5440" w:type="dxa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國際生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學期成績比較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學生修業時間長度與休學原因比較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碩士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</w:tr>
      <w:tr w:rsidR="00812F8A" w:rsidRPr="00723296" w:rsidTr="00812F8A">
        <w:trPr>
          <w:trHeight w:val="305"/>
        </w:trPr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經文不利生休退學率與就學穩定</w:t>
            </w:r>
            <w:r w:rsidR="00CA4759"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本校與它校碩博班續留狀況比較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經濟不利新生占學校新生人數比率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應屆畢業生問卷滿意度</w:t>
            </w:r>
          </w:p>
        </w:tc>
      </w:tr>
      <w:tr w:rsidR="00812F8A" w:rsidRPr="00723296" w:rsidTr="0025139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弱勢生就學穩定度及學業表現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入學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值與應屆畢業生對學校競爭力滿意度</w:t>
            </w:r>
          </w:p>
        </w:tc>
      </w:tr>
      <w:tr w:rsidR="00812F8A" w:rsidRPr="00723296" w:rsidTr="00E0203C">
        <w:tc>
          <w:tcPr>
            <w:tcW w:w="5440" w:type="dxa"/>
            <w:shd w:val="clear" w:color="auto" w:fill="auto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經文不利生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就學穩定度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中低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各系所學生修課核心能力分析</w:t>
            </w:r>
          </w:p>
        </w:tc>
      </w:tr>
      <w:tr w:rsidR="00812F8A" w:rsidRPr="00723296" w:rsidTr="0025139C">
        <w:tc>
          <w:tcPr>
            <w:tcW w:w="5440" w:type="dxa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經文不利生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就學穩定度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低收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修讀程式設計課程學生人數比率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CA4759" w:rsidRDefault="00CA4759" w:rsidP="00CA4759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原住民</w:t>
            </w:r>
            <w:r w:rsidR="00812F8A" w:rsidRPr="00CA475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休退學率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學生修讀輔系比率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原住民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各入學管道人數、休退學人數及原因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平均每位專任輔導人員服務正式學籍在學學生人數</w:t>
            </w:r>
          </w:p>
        </w:tc>
      </w:tr>
      <w:tr w:rsidR="00812F8A" w:rsidRPr="00723296" w:rsidTr="0025139C">
        <w:tc>
          <w:tcPr>
            <w:tcW w:w="5440" w:type="dxa"/>
            <w:shd w:val="clear" w:color="auto" w:fill="auto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原住民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All-Pass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每百人接受個別諮商人數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上、下學期平均值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  <w:r w:rsidR="00CA4759"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2F8A" w:rsidRPr="00723296" w:rsidTr="0025139C">
        <w:tc>
          <w:tcPr>
            <w:tcW w:w="5440" w:type="dxa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原住民</w:t>
            </w:r>
            <w:r w:rsidR="00812F8A"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就學穩定度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每百人接受個別諮商人數</w:t>
            </w:r>
          </w:p>
        </w:tc>
      </w:tr>
      <w:tr w:rsidR="00812F8A" w:rsidRPr="00723296" w:rsidTr="0025139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學生通過公職考試與證照統計表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每百人辦理團體輔導場次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9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經文不利生</w:t>
            </w: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ALL-Pass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12F8A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812F8A" w:rsidRPr="00E0203C" w:rsidRDefault="00870929" w:rsidP="00812F8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/>
                <w:sz w:val="32"/>
                <w:szCs w:val="24"/>
              </w:rPr>
              <w:t>2-3</w:t>
            </w:r>
            <w:r w:rsidR="00812F8A" w:rsidRPr="00E0203C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24"/>
              </w:rPr>
              <w:t>人事面</w:t>
            </w:r>
          </w:p>
        </w:tc>
      </w:tr>
      <w:tr w:rsidR="00812F8A" w:rsidRPr="00723296" w:rsidTr="0025139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各單位支應人數與薪資總額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4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兼任教師總數</w:t>
            </w:r>
          </w:p>
        </w:tc>
      </w:tr>
      <w:tr w:rsidR="00812F8A" w:rsidRPr="00723296" w:rsidTr="0025139C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5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專任教師之助理教授以上人數比率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兼任教師數占專任教師數比率</w:t>
            </w:r>
          </w:p>
        </w:tc>
      </w:tr>
      <w:tr w:rsidR="00812F8A" w:rsidRPr="00723296" w:rsidTr="0025139C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7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專任教師之編制外教師人數比率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8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專任教師每週授課時數</w:t>
            </w:r>
          </w:p>
        </w:tc>
      </w:tr>
      <w:tr w:rsidR="00812F8A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812F8A" w:rsidRPr="00E0203C" w:rsidRDefault="00870929" w:rsidP="00812F8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/>
                <w:sz w:val="32"/>
                <w:szCs w:val="24"/>
              </w:rPr>
              <w:t>2-4</w:t>
            </w:r>
            <w:r w:rsidR="00812F8A" w:rsidRPr="00E0203C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24"/>
              </w:rPr>
              <w:t>研究面</w:t>
            </w:r>
          </w:p>
        </w:tc>
      </w:tr>
      <w:tr w:rsidR="00812F8A" w:rsidRPr="00723296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本校承接各單位資助「產學合作」計畫概況分析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25139C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每師平均承接「其他」部門資助產學合作計畫經費</w:t>
            </w:r>
          </w:p>
        </w:tc>
      </w:tr>
      <w:tr w:rsidR="00812F8A" w:rsidRPr="00723296" w:rsidTr="00E0203C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學校承接產學計畫案件數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25139C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393939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393939"/>
                <w:sz w:val="24"/>
                <w:szCs w:val="24"/>
              </w:rPr>
              <w:t>平均每位專任教師發表研討會論文數</w:t>
            </w:r>
          </w:p>
        </w:tc>
      </w:tr>
      <w:tr w:rsidR="00812F8A" w:rsidRPr="00723296" w:rsidTr="00E0203C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812F8A" w:rsidP="0025139C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學校承接產學計畫經費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教師發展分析</w:t>
            </w:r>
          </w:p>
        </w:tc>
      </w:tr>
      <w:tr w:rsidR="00812F8A" w:rsidRPr="00723296" w:rsidTr="00E0203C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812F8A" w:rsidP="0025139C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每師平均承接「政府」部門資助產學合作計畫經費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25139C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393939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393939"/>
                <w:sz w:val="24"/>
                <w:szCs w:val="24"/>
              </w:rPr>
              <w:t>平均每位專任教師發表專業期刊論文數</w:t>
            </w:r>
          </w:p>
        </w:tc>
      </w:tr>
      <w:tr w:rsidR="00812F8A" w:rsidRPr="00723296" w:rsidTr="00E0203C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812F8A" w:rsidP="0025139C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每師平均承接「企業」部門資助產學合作計畫經費</w:t>
            </w:r>
          </w:p>
        </w:tc>
        <w:tc>
          <w:tcPr>
            <w:tcW w:w="5441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本校承接各單位資助「教學研究」計畫概況分析</w:t>
            </w:r>
          </w:p>
        </w:tc>
      </w:tr>
      <w:tr w:rsidR="000D3732" w:rsidRPr="00723296" w:rsidTr="00CA4759">
        <w:tc>
          <w:tcPr>
            <w:tcW w:w="5440" w:type="dxa"/>
            <w:shd w:val="clear" w:color="auto" w:fill="FFF2CC" w:themeFill="accent4" w:themeFillTint="33"/>
          </w:tcPr>
          <w:p w:rsidR="000D3732" w:rsidRPr="00723296" w:rsidRDefault="00CA4759" w:rsidP="0025139C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各校計畫總經費與專任教師平均計畫經費</w:t>
            </w: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(105-107</w:t>
            </w: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ajorHAnsi" w:hAnsiTheme="majorHAnsi" w:cstheme="majorHAnsi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</w:tcPr>
          <w:p w:rsidR="000D3732" w:rsidRPr="00CA4759" w:rsidRDefault="000D3732" w:rsidP="00CA4759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8724E6" w:rsidRDefault="008724E6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0"/>
        <w:gridCol w:w="5441"/>
      </w:tblGrid>
      <w:tr w:rsidR="00812F8A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812F8A" w:rsidRPr="00E0203C" w:rsidRDefault="00870929" w:rsidP="00812F8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/>
                <w:sz w:val="32"/>
                <w:szCs w:val="24"/>
              </w:rPr>
              <w:lastRenderedPageBreak/>
              <w:t>2-5</w:t>
            </w:r>
            <w:r w:rsidR="00812F8A" w:rsidRPr="00E0203C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24"/>
              </w:rPr>
              <w:t>財務面</w:t>
            </w:r>
          </w:p>
        </w:tc>
      </w:tr>
      <w:tr w:rsidR="00812F8A" w:rsidRPr="00723296" w:rsidTr="00CA4759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393939"/>
                <w:sz w:val="24"/>
                <w:szCs w:val="24"/>
              </w:rPr>
              <w:t>平均每生圖書經費</w:t>
            </w:r>
          </w:p>
        </w:tc>
        <w:tc>
          <w:tcPr>
            <w:tcW w:w="5441" w:type="dxa"/>
            <w:shd w:val="clear" w:color="auto" w:fill="FFFFFF" w:themeFill="background1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Theme="majorHAnsi" w:hAnsiTheme="majorHAnsi" w:cstheme="majorHAnsi"/>
                <w:color w:val="393939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各單位募款專案執行成效統整</w:t>
            </w:r>
          </w:p>
        </w:tc>
      </w:tr>
      <w:tr w:rsidR="00812F8A" w:rsidRPr="00723296" w:rsidTr="00CA4759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393939"/>
                <w:sz w:val="24"/>
                <w:szCs w:val="24"/>
              </w:rPr>
              <w:t>學雜費收入占總收入比率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CA4759" w:rsidP="00812F8A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Theme="majorHAnsi" w:hAnsiTheme="majorHAnsi" w:cstheme="majorHAnsi"/>
                <w:color w:val="393939"/>
                <w:sz w:val="24"/>
                <w:szCs w:val="24"/>
              </w:rPr>
            </w:pPr>
            <w:r w:rsidRPr="00244585">
              <w:rPr>
                <w:rFonts w:ascii="標楷體" w:hAnsi="標楷體" w:hint="eastAsia"/>
                <w:sz w:val="24"/>
                <w:szCs w:val="24"/>
              </w:rPr>
              <w:t>速動比率</w:t>
            </w:r>
          </w:p>
        </w:tc>
      </w:tr>
      <w:tr w:rsidR="0014794E" w:rsidRPr="00723296" w:rsidTr="0014794E">
        <w:tc>
          <w:tcPr>
            <w:tcW w:w="5440" w:type="dxa"/>
            <w:shd w:val="clear" w:color="auto" w:fill="FFF2CC" w:themeFill="accent4" w:themeFillTint="33"/>
          </w:tcPr>
          <w:p w:rsidR="0014794E" w:rsidRPr="00723296" w:rsidRDefault="00CA4759" w:rsidP="00812F8A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44585">
              <w:rPr>
                <w:rFonts w:ascii="標楷體" w:hAnsi="標楷體" w:hint="eastAsia"/>
                <w:sz w:val="24"/>
                <w:szCs w:val="24"/>
              </w:rPr>
              <w:t>負債占總資產比率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14794E" w:rsidRPr="00723296" w:rsidRDefault="0014794E" w:rsidP="00812F8A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asciiTheme="majorHAnsi" w:hAnsiTheme="majorHAnsi" w:cstheme="majorHAnsi"/>
                <w:color w:val="393939"/>
                <w:sz w:val="24"/>
                <w:szCs w:val="24"/>
              </w:rPr>
            </w:pPr>
            <w:r w:rsidRPr="00244585">
              <w:rPr>
                <w:rFonts w:ascii="標楷體" w:hAnsi="標楷體" w:hint="eastAsia"/>
                <w:sz w:val="24"/>
                <w:szCs w:val="24"/>
              </w:rPr>
              <w:t>營運活動淨現金流量占流動負債比率</w:t>
            </w:r>
          </w:p>
        </w:tc>
      </w:tr>
      <w:tr w:rsidR="00812F8A" w:rsidRPr="00723296" w:rsidTr="00E0203C">
        <w:tc>
          <w:tcPr>
            <w:tcW w:w="10881" w:type="dxa"/>
            <w:gridSpan w:val="2"/>
            <w:shd w:val="clear" w:color="auto" w:fill="F2F2F2" w:themeFill="background1" w:themeFillShade="F2"/>
          </w:tcPr>
          <w:p w:rsidR="00812F8A" w:rsidRPr="00E0203C" w:rsidRDefault="00870929" w:rsidP="00812F8A">
            <w:pPr>
              <w:widowControl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bCs/>
                <w:color w:val="000000"/>
                <w:sz w:val="32"/>
                <w:szCs w:val="24"/>
              </w:rPr>
              <w:t>2-6</w:t>
            </w:r>
            <w:r w:rsidR="00812F8A" w:rsidRPr="00E0203C">
              <w:rPr>
                <w:rFonts w:asciiTheme="majorHAnsi" w:hAnsiTheme="majorHAnsi" w:cstheme="majorHAnsi"/>
                <w:b/>
                <w:bCs/>
                <w:color w:val="000000"/>
                <w:sz w:val="32"/>
                <w:szCs w:val="24"/>
              </w:rPr>
              <w:t>學校面</w:t>
            </w:r>
          </w:p>
        </w:tc>
      </w:tr>
      <w:tr w:rsidR="00812F8A" w:rsidRPr="00236284" w:rsidTr="00E0203C">
        <w:tc>
          <w:tcPr>
            <w:tcW w:w="5440" w:type="dxa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教師參與高中宣傳分析</w:t>
            </w:r>
          </w:p>
        </w:tc>
        <w:tc>
          <w:tcPr>
            <w:tcW w:w="5441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平均每位學生能使用的教學與學習空間</w:t>
            </w:r>
          </w:p>
        </w:tc>
      </w:tr>
      <w:tr w:rsidR="00812F8A" w:rsidRPr="00723296" w:rsidTr="00E0203C">
        <w:tc>
          <w:tcPr>
            <w:tcW w:w="5440" w:type="dxa"/>
            <w:shd w:val="clear" w:color="auto" w:fill="FFF2CC" w:themeFill="accent4" w:themeFillTint="33"/>
          </w:tcPr>
          <w:p w:rsidR="00812F8A" w:rsidRPr="00723296" w:rsidRDefault="00812F8A" w:rsidP="00812F8A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2329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平均每位學生能使用的校舍總樓地板面積</w:t>
            </w:r>
          </w:p>
        </w:tc>
        <w:tc>
          <w:tcPr>
            <w:tcW w:w="5441" w:type="dxa"/>
          </w:tcPr>
          <w:p w:rsidR="00812F8A" w:rsidRPr="00E0203C" w:rsidRDefault="00812F8A" w:rsidP="00812F8A">
            <w:pPr>
              <w:widowControl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9A1B74" w:rsidRPr="009A1B74" w:rsidRDefault="009A1B74" w:rsidP="00E0203C">
      <w:pPr>
        <w:rPr>
          <w:b/>
          <w:sz w:val="32"/>
        </w:rPr>
      </w:pPr>
    </w:p>
    <w:sectPr w:rsidR="009A1B74" w:rsidRPr="009A1B74" w:rsidSect="00E0203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73" w:rsidRDefault="005C4373" w:rsidP="00D64FF1">
      <w:r>
        <w:separator/>
      </w:r>
    </w:p>
  </w:endnote>
  <w:endnote w:type="continuationSeparator" w:id="0">
    <w:p w:rsidR="005C4373" w:rsidRDefault="005C4373" w:rsidP="00D6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73" w:rsidRDefault="005C4373" w:rsidP="00D64FF1">
      <w:r>
        <w:separator/>
      </w:r>
    </w:p>
  </w:footnote>
  <w:footnote w:type="continuationSeparator" w:id="0">
    <w:p w:rsidR="005C4373" w:rsidRDefault="005C4373" w:rsidP="00D6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BBE"/>
      </v:shape>
    </w:pict>
  </w:numPicBullet>
  <w:abstractNum w:abstractNumId="0" w15:restartNumberingAfterBreak="0">
    <w:nsid w:val="05012D32"/>
    <w:multiLevelType w:val="hybridMultilevel"/>
    <w:tmpl w:val="23303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062A8"/>
    <w:multiLevelType w:val="hybridMultilevel"/>
    <w:tmpl w:val="625263BA"/>
    <w:lvl w:ilvl="0" w:tplc="2B2EF6C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81D36"/>
    <w:multiLevelType w:val="hybridMultilevel"/>
    <w:tmpl w:val="496647A2"/>
    <w:lvl w:ilvl="0" w:tplc="DE3A19D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A0495"/>
    <w:multiLevelType w:val="hybridMultilevel"/>
    <w:tmpl w:val="F7E6DF0C"/>
    <w:lvl w:ilvl="0" w:tplc="10AC1B8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D7C7B"/>
    <w:multiLevelType w:val="hybridMultilevel"/>
    <w:tmpl w:val="9B84A4D8"/>
    <w:lvl w:ilvl="0" w:tplc="1AF0F34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172C3"/>
    <w:multiLevelType w:val="hybridMultilevel"/>
    <w:tmpl w:val="F2483DE0"/>
    <w:lvl w:ilvl="0" w:tplc="51A2378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B741AF"/>
    <w:multiLevelType w:val="hybridMultilevel"/>
    <w:tmpl w:val="1C10FAD0"/>
    <w:lvl w:ilvl="0" w:tplc="DAFA361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D5B0A"/>
    <w:multiLevelType w:val="hybridMultilevel"/>
    <w:tmpl w:val="3546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50ACA"/>
    <w:multiLevelType w:val="hybridMultilevel"/>
    <w:tmpl w:val="22963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55090D"/>
    <w:multiLevelType w:val="hybridMultilevel"/>
    <w:tmpl w:val="AFC6B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FA621D"/>
    <w:multiLevelType w:val="hybridMultilevel"/>
    <w:tmpl w:val="75F80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696753"/>
    <w:multiLevelType w:val="hybridMultilevel"/>
    <w:tmpl w:val="3546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5D7FF6"/>
    <w:multiLevelType w:val="hybridMultilevel"/>
    <w:tmpl w:val="ACF6F4E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C973CB"/>
    <w:multiLevelType w:val="hybridMultilevel"/>
    <w:tmpl w:val="A4027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C0C50"/>
    <w:multiLevelType w:val="hybridMultilevel"/>
    <w:tmpl w:val="5C4E6F32"/>
    <w:lvl w:ilvl="0" w:tplc="19AE778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0E3FB8"/>
    <w:multiLevelType w:val="hybridMultilevel"/>
    <w:tmpl w:val="62F24176"/>
    <w:lvl w:ilvl="0" w:tplc="10E6A8D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0A2CF1"/>
    <w:multiLevelType w:val="hybridMultilevel"/>
    <w:tmpl w:val="BBF2C83C"/>
    <w:lvl w:ilvl="0" w:tplc="B0C0657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810C62"/>
    <w:multiLevelType w:val="hybridMultilevel"/>
    <w:tmpl w:val="6DE21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4"/>
    <w:rsid w:val="00012C69"/>
    <w:rsid w:val="00062347"/>
    <w:rsid w:val="000A7A2E"/>
    <w:rsid w:val="000D3732"/>
    <w:rsid w:val="001379BF"/>
    <w:rsid w:val="0014794E"/>
    <w:rsid w:val="00162C06"/>
    <w:rsid w:val="001B41F4"/>
    <w:rsid w:val="001F201C"/>
    <w:rsid w:val="00235E26"/>
    <w:rsid w:val="00236284"/>
    <w:rsid w:val="0025139C"/>
    <w:rsid w:val="002A1666"/>
    <w:rsid w:val="002A202B"/>
    <w:rsid w:val="002C034C"/>
    <w:rsid w:val="002C1E53"/>
    <w:rsid w:val="004806D9"/>
    <w:rsid w:val="00480F63"/>
    <w:rsid w:val="00550B7D"/>
    <w:rsid w:val="005846F4"/>
    <w:rsid w:val="00590207"/>
    <w:rsid w:val="005C4373"/>
    <w:rsid w:val="0062023A"/>
    <w:rsid w:val="0066455C"/>
    <w:rsid w:val="006B04B9"/>
    <w:rsid w:val="00723296"/>
    <w:rsid w:val="00786AEB"/>
    <w:rsid w:val="007C5F29"/>
    <w:rsid w:val="007D093C"/>
    <w:rsid w:val="00812F8A"/>
    <w:rsid w:val="0085680A"/>
    <w:rsid w:val="00870929"/>
    <w:rsid w:val="008724E6"/>
    <w:rsid w:val="00894B30"/>
    <w:rsid w:val="00995AFD"/>
    <w:rsid w:val="009A1B74"/>
    <w:rsid w:val="00A14BC8"/>
    <w:rsid w:val="00A8590C"/>
    <w:rsid w:val="00A860DA"/>
    <w:rsid w:val="00B5150A"/>
    <w:rsid w:val="00B56994"/>
    <w:rsid w:val="00B83D52"/>
    <w:rsid w:val="00BD3732"/>
    <w:rsid w:val="00C574F7"/>
    <w:rsid w:val="00CA4759"/>
    <w:rsid w:val="00CC38E8"/>
    <w:rsid w:val="00D165F7"/>
    <w:rsid w:val="00D64FF1"/>
    <w:rsid w:val="00E0203C"/>
    <w:rsid w:val="00EE5CD6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B10BC"/>
  <w15:docId w15:val="{F8B030B0-7FEE-4E66-8208-23A4018C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3A"/>
    <w:pPr>
      <w:widowControl w:val="0"/>
    </w:pPr>
  </w:style>
  <w:style w:type="paragraph" w:styleId="1">
    <w:name w:val="heading 1"/>
    <w:basedOn w:val="a"/>
    <w:link w:val="10"/>
    <w:uiPriority w:val="9"/>
    <w:qFormat/>
    <w:rsid w:val="00A14BC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3A"/>
    <w:pPr>
      <w:ind w:leftChars="200" w:left="480"/>
    </w:pPr>
  </w:style>
  <w:style w:type="table" w:styleId="a4">
    <w:name w:val="Table Grid"/>
    <w:basedOn w:val="a1"/>
    <w:uiPriority w:val="39"/>
    <w:rsid w:val="009A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14BC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3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3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64F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4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64F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自訂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538135"/>
      </a:accent5>
      <a:accent6>
        <a:srgbClr val="6F3B55"/>
      </a:accent6>
      <a:hlink>
        <a:srgbClr val="C00000"/>
      </a:hlink>
      <a:folHlink>
        <a:srgbClr val="BF9000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Ching-Hung Chang</cp:lastModifiedBy>
  <cp:revision>24</cp:revision>
  <cp:lastPrinted>2023-01-04T03:13:00Z</cp:lastPrinted>
  <dcterms:created xsi:type="dcterms:W3CDTF">2022-12-29T01:35:00Z</dcterms:created>
  <dcterms:modified xsi:type="dcterms:W3CDTF">2023-02-02T05:25:00Z</dcterms:modified>
</cp:coreProperties>
</file>