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EF" w:rsidRDefault="00C53CEF" w:rsidP="00C22344">
      <w:pPr>
        <w:spacing w:line="520" w:lineRule="exact"/>
        <w:jc w:val="center"/>
        <w:rPr>
          <w:rFonts w:ascii="標楷體" w:eastAsia="標楷體" w:hAnsi="標楷體"/>
          <w:b/>
          <w:sz w:val="32"/>
          <w:szCs w:val="32"/>
        </w:rPr>
      </w:pPr>
      <w:bookmarkStart w:id="0" w:name="_GoBack"/>
      <w:r w:rsidRPr="00106D8C">
        <w:rPr>
          <w:rFonts w:ascii="標楷體" w:eastAsia="標楷體" w:hAnsi="標楷體" w:hint="eastAsia"/>
          <w:b/>
          <w:sz w:val="32"/>
          <w:szCs w:val="32"/>
        </w:rPr>
        <w:t>澎湖縣政府</w:t>
      </w:r>
      <w:r w:rsidR="005D4DBC">
        <w:rPr>
          <w:rFonts w:ascii="標楷體" w:eastAsia="標楷體" w:hAnsi="標楷體" w:hint="eastAsia"/>
          <w:b/>
          <w:sz w:val="32"/>
          <w:szCs w:val="32"/>
        </w:rPr>
        <w:t>10</w:t>
      </w:r>
      <w:r w:rsidR="005D4DBC">
        <w:rPr>
          <w:rFonts w:ascii="標楷體" w:eastAsia="標楷體" w:hAnsi="標楷體"/>
          <w:b/>
          <w:sz w:val="32"/>
          <w:szCs w:val="32"/>
        </w:rPr>
        <w:t>9</w:t>
      </w:r>
      <w:r w:rsidR="006108F7">
        <w:rPr>
          <w:rFonts w:ascii="標楷體" w:eastAsia="標楷體" w:hAnsi="標楷體" w:hint="eastAsia"/>
          <w:b/>
          <w:sz w:val="32"/>
          <w:szCs w:val="32"/>
        </w:rPr>
        <w:t>年度</w:t>
      </w:r>
      <w:r w:rsidRPr="00106D8C">
        <w:rPr>
          <w:rFonts w:ascii="標楷體" w:eastAsia="標楷體" w:hAnsi="標楷體" w:hint="eastAsia"/>
          <w:b/>
          <w:sz w:val="32"/>
          <w:szCs w:val="32"/>
        </w:rPr>
        <w:t>縣政建設學位論文</w:t>
      </w:r>
      <w:r w:rsidR="003459CE">
        <w:rPr>
          <w:rFonts w:ascii="標楷體" w:eastAsia="標楷體" w:hAnsi="標楷體" w:hint="eastAsia"/>
          <w:b/>
          <w:sz w:val="32"/>
          <w:szCs w:val="32"/>
        </w:rPr>
        <w:t>優先補助</w:t>
      </w:r>
      <w:r w:rsidR="00AA5A00">
        <w:rPr>
          <w:rFonts w:ascii="標楷體" w:eastAsia="標楷體" w:hAnsi="標楷體" w:hint="eastAsia"/>
          <w:b/>
          <w:sz w:val="32"/>
          <w:szCs w:val="32"/>
        </w:rPr>
        <w:t>題目</w:t>
      </w:r>
    </w:p>
    <w:bookmarkEnd w:id="0"/>
    <w:p w:rsidR="005D4DBC" w:rsidRPr="003459CE" w:rsidRDefault="005D4DBC" w:rsidP="005D4DBC">
      <w:pPr>
        <w:pStyle w:val="a3"/>
        <w:numPr>
          <w:ilvl w:val="0"/>
          <w:numId w:val="3"/>
        </w:numPr>
        <w:spacing w:line="520" w:lineRule="exact"/>
        <w:ind w:leftChars="0" w:rightChars="-163" w:right="-391"/>
        <w:rPr>
          <w:rFonts w:ascii="標楷體" w:eastAsia="標楷體" w:hAnsi="標楷體"/>
          <w:sz w:val="28"/>
        </w:rPr>
      </w:pPr>
      <w:r w:rsidRPr="003459CE">
        <w:rPr>
          <w:rFonts w:ascii="標楷體" w:eastAsia="標楷體" w:hAnsi="標楷體" w:hint="eastAsia"/>
          <w:sz w:val="28"/>
        </w:rPr>
        <w:t>澎湖在地文化研究（如廟宇、乞龜、武轎、涼傘、古蹟、</w:t>
      </w:r>
      <w:r>
        <w:rPr>
          <w:rFonts w:ascii="標楷體" w:eastAsia="標楷體" w:hAnsi="標楷體" w:hint="eastAsia"/>
          <w:sz w:val="28"/>
        </w:rPr>
        <w:t>歷史</w:t>
      </w:r>
      <w:r w:rsidRPr="003459CE">
        <w:rPr>
          <w:rFonts w:ascii="標楷體" w:eastAsia="標楷體" w:hAnsi="標楷體" w:hint="eastAsia"/>
          <w:sz w:val="28"/>
        </w:rPr>
        <w:t>等）。</w:t>
      </w:r>
    </w:p>
    <w:p w:rsidR="005D4DBC" w:rsidRDefault="005D4DBC" w:rsidP="005D4DBC">
      <w:pPr>
        <w:pStyle w:val="a3"/>
        <w:spacing w:line="520" w:lineRule="exact"/>
        <w:ind w:leftChars="0" w:left="357" w:rightChars="-163" w:right="-391" w:firstLineChars="50" w:firstLine="140"/>
        <w:rPr>
          <w:rFonts w:ascii="標楷體" w:eastAsia="標楷體" w:hAnsi="標楷體"/>
          <w:sz w:val="28"/>
        </w:rPr>
      </w:pPr>
      <w:r>
        <w:rPr>
          <w:rFonts w:ascii="標楷體" w:eastAsia="標楷體" w:hAnsi="標楷體" w:hint="eastAsia"/>
          <w:sz w:val="28"/>
        </w:rPr>
        <w:t>(ㄧ)澎湖元宵節廟宇乞龜歷史文化之探究。</w:t>
      </w:r>
    </w:p>
    <w:p w:rsidR="005D4DBC" w:rsidRDefault="005D4DBC" w:rsidP="005D4DBC">
      <w:pPr>
        <w:pStyle w:val="a3"/>
        <w:spacing w:line="520" w:lineRule="exact"/>
        <w:ind w:leftChars="0" w:left="357" w:rightChars="-163" w:right="-391" w:firstLineChars="50" w:firstLine="140"/>
        <w:rPr>
          <w:rFonts w:ascii="標楷體" w:eastAsia="標楷體" w:hAnsi="標楷體"/>
          <w:sz w:val="28"/>
        </w:rPr>
      </w:pPr>
      <w:r>
        <w:rPr>
          <w:rFonts w:ascii="標楷體" w:eastAsia="標楷體" w:hAnsi="標楷體" w:hint="eastAsia"/>
          <w:sz w:val="28"/>
        </w:rPr>
        <w:t>(二)澎湖元宵節廟宇乞龜文化結合觀光文創產值之研究。</w:t>
      </w:r>
    </w:p>
    <w:p w:rsidR="005D4DBC" w:rsidRPr="005D4DBC" w:rsidRDefault="005D4DBC" w:rsidP="005D4DBC">
      <w:pPr>
        <w:pStyle w:val="a3"/>
        <w:spacing w:line="520" w:lineRule="exact"/>
        <w:ind w:leftChars="0" w:left="357" w:rightChars="-163" w:right="-391" w:firstLineChars="50" w:firstLine="140"/>
        <w:rPr>
          <w:rFonts w:ascii="標楷體" w:eastAsia="標楷體" w:hAnsi="標楷體" w:hint="eastAsia"/>
          <w:sz w:val="28"/>
        </w:rPr>
      </w:pPr>
      <w:r w:rsidRPr="00CF39A1">
        <w:rPr>
          <w:rFonts w:ascii="標楷體" w:eastAsia="標楷體" w:hAnsi="標楷體" w:hint="eastAsia"/>
          <w:sz w:val="28"/>
        </w:rPr>
        <w:t>(三)澎湖推動電子武轎與文化創新之研究</w:t>
      </w:r>
      <w:r w:rsidRPr="00CF39A1">
        <w:rPr>
          <w:rFonts w:ascii="新細明體" w:eastAsia="新細明體" w:hAnsi="新細明體" w:hint="eastAsia"/>
          <w:sz w:val="28"/>
        </w:rPr>
        <w:t>（</w:t>
      </w:r>
      <w:r w:rsidRPr="00CF39A1">
        <w:rPr>
          <w:rFonts w:ascii="標楷體" w:eastAsia="標楷體" w:hAnsi="標楷體" w:hint="eastAsia"/>
          <w:sz w:val="28"/>
        </w:rPr>
        <w:t>以○○宮為例</w:t>
      </w:r>
      <w:r w:rsidRPr="00CF39A1">
        <w:rPr>
          <w:rFonts w:ascii="新細明體" w:eastAsia="新細明體" w:hAnsi="新細明體" w:hint="eastAsia"/>
          <w:sz w:val="28"/>
        </w:rPr>
        <w:t>）</w:t>
      </w:r>
      <w:r w:rsidRPr="00CF39A1">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二</w:t>
      </w:r>
      <w:r>
        <w:rPr>
          <w:rFonts w:ascii="標楷體" w:eastAsia="標楷體" w:hAnsi="標楷體" w:hint="eastAsia"/>
          <w:sz w:val="28"/>
        </w:rPr>
        <w:t>、</w:t>
      </w:r>
      <w:r w:rsidRPr="005D4DBC">
        <w:rPr>
          <w:rFonts w:ascii="標楷體" w:eastAsia="標楷體" w:hAnsi="標楷體" w:hint="eastAsia"/>
          <w:sz w:val="28"/>
        </w:rPr>
        <w:t>澎湖縣12年國教特殊教育公開授課教學模式發展之研究</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三</w:t>
      </w:r>
      <w:r>
        <w:rPr>
          <w:rFonts w:ascii="標楷體" w:eastAsia="標楷體" w:hAnsi="標楷體" w:hint="eastAsia"/>
          <w:sz w:val="28"/>
        </w:rPr>
        <w:t>、</w:t>
      </w:r>
      <w:r w:rsidRPr="005949B0">
        <w:rPr>
          <w:rFonts w:ascii="標楷體" w:eastAsia="標楷體" w:hAnsi="標楷體" w:hint="eastAsia"/>
          <w:sz w:val="28"/>
        </w:rPr>
        <w:t>國教階段身心障礙學生之「親師生」衝突產生歷程與化解之</w:t>
      </w:r>
      <w:r>
        <w:rPr>
          <w:rFonts w:ascii="標楷體" w:eastAsia="標楷體" w:hAnsi="標楷體" w:hint="eastAsia"/>
          <w:sz w:val="28"/>
        </w:rPr>
        <w:t>探討</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四</w:t>
      </w:r>
      <w:r>
        <w:rPr>
          <w:rFonts w:ascii="標楷體" w:eastAsia="標楷體" w:hAnsi="標楷體" w:hint="eastAsia"/>
          <w:sz w:val="28"/>
        </w:rPr>
        <w:t>、</w:t>
      </w:r>
      <w:r w:rsidRPr="005949B0">
        <w:rPr>
          <w:rFonts w:ascii="標楷體" w:eastAsia="標楷體" w:hAnsi="標楷體" w:hint="eastAsia"/>
          <w:sz w:val="28"/>
        </w:rPr>
        <w:t>澎湖縣樂齡學習需求人口與樂齡學習中心資源分配模式</w:t>
      </w:r>
      <w:r>
        <w:rPr>
          <w:rFonts w:ascii="標楷體" w:eastAsia="標楷體" w:hAnsi="標楷體" w:hint="eastAsia"/>
          <w:sz w:val="28"/>
        </w:rPr>
        <w:t>之研究</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五</w:t>
      </w:r>
      <w:r>
        <w:rPr>
          <w:rFonts w:ascii="標楷體" w:eastAsia="標楷體" w:hAnsi="標楷體" w:hint="eastAsia"/>
          <w:sz w:val="28"/>
        </w:rPr>
        <w:t>、舉辦大型運動賽事對城市永續發展之影響-以澎湖風帆船國際賽為例</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六</w:t>
      </w:r>
      <w:r>
        <w:rPr>
          <w:rFonts w:ascii="標楷體" w:eastAsia="標楷體" w:hAnsi="標楷體" w:hint="eastAsia"/>
          <w:sz w:val="28"/>
        </w:rPr>
        <w:t>、運動觀光產業發展策略之研究-以澎湖縣舉辦賽事為例</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七</w:t>
      </w:r>
      <w:r>
        <w:rPr>
          <w:rFonts w:ascii="標楷體" w:eastAsia="標楷體" w:hAnsi="標楷體" w:hint="eastAsia"/>
          <w:sz w:val="28"/>
        </w:rPr>
        <w:t>、澎湖縣澎南地區國中小學校營養午餐共廚之探討</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八</w:t>
      </w:r>
      <w:r>
        <w:rPr>
          <w:rFonts w:ascii="標楷體" w:eastAsia="標楷體" w:hAnsi="標楷體" w:hint="eastAsia"/>
          <w:sz w:val="28"/>
        </w:rPr>
        <w:t>、</w:t>
      </w:r>
      <w:r w:rsidRPr="00150C0F">
        <w:rPr>
          <w:rFonts w:ascii="標楷體" w:eastAsia="標楷體" w:hAnsi="標楷體" w:hint="eastAsia"/>
          <w:sz w:val="28"/>
        </w:rPr>
        <w:t>澎湖縣裁併校政策執行之影響。</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九</w:t>
      </w:r>
      <w:r>
        <w:rPr>
          <w:rFonts w:ascii="標楷體" w:eastAsia="標楷體" w:hAnsi="標楷體" w:hint="eastAsia"/>
          <w:sz w:val="28"/>
        </w:rPr>
        <w:t>、</w:t>
      </w:r>
      <w:r w:rsidRPr="00150C0F">
        <w:rPr>
          <w:rFonts w:ascii="標楷體" w:eastAsia="標楷體" w:hAnsi="標楷體" w:hint="eastAsia"/>
          <w:sz w:val="28"/>
        </w:rPr>
        <w:t>幼托整合後教保人員職掌及管理之研究-以澎湖縣國小附幼為例</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十</w:t>
      </w:r>
      <w:r>
        <w:rPr>
          <w:rFonts w:ascii="標楷體" w:eastAsia="標楷體" w:hAnsi="標楷體" w:hint="eastAsia"/>
          <w:sz w:val="28"/>
        </w:rPr>
        <w:t>、</w:t>
      </w:r>
      <w:r w:rsidRPr="00150C0F">
        <w:rPr>
          <w:rFonts w:ascii="標楷體" w:eastAsia="標楷體" w:hAnsi="標楷體" w:hint="eastAsia"/>
          <w:sz w:val="28"/>
        </w:rPr>
        <w:t>澎湖縣資訊教育指標現況之研究</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十一</w:t>
      </w:r>
      <w:r>
        <w:rPr>
          <w:rFonts w:ascii="標楷體" w:eastAsia="標楷體" w:hAnsi="標楷體" w:hint="eastAsia"/>
          <w:sz w:val="28"/>
        </w:rPr>
        <w:t>、建置學校社區共讀站對提振社會閱讀風氣暨提升學生閱讀能力影響之</w:t>
      </w:r>
      <w:r>
        <w:rPr>
          <w:rFonts w:ascii="標楷體" w:eastAsia="標楷體" w:hAnsi="標楷體" w:hint="eastAsia"/>
          <w:sz w:val="28"/>
        </w:rPr>
        <w:t xml:space="preserve">  </w:t>
      </w:r>
    </w:p>
    <w:p w:rsidR="005D4DBC" w:rsidRDefault="005D4DBC" w:rsidP="005D4DBC">
      <w:pPr>
        <w:spacing w:line="520" w:lineRule="exact"/>
        <w:ind w:rightChars="-163" w:right="-391"/>
        <w:rPr>
          <w:rFonts w:ascii="標楷體" w:eastAsia="標楷體" w:hAnsi="標楷體" w:hint="eastAsia"/>
          <w:sz w:val="28"/>
        </w:rPr>
      </w:pPr>
      <w:r>
        <w:rPr>
          <w:rFonts w:ascii="標楷體" w:eastAsia="標楷體" w:hAnsi="標楷體"/>
          <w:sz w:val="28"/>
        </w:rPr>
        <w:t xml:space="preserve">      </w:t>
      </w:r>
      <w:r>
        <w:rPr>
          <w:rFonts w:ascii="標楷體" w:eastAsia="標楷體" w:hAnsi="標楷體" w:hint="eastAsia"/>
          <w:sz w:val="28"/>
        </w:rPr>
        <w:t>研究-</w:t>
      </w:r>
      <w:r>
        <w:rPr>
          <w:rFonts w:ascii="標楷體" w:eastAsia="標楷體" w:hAnsi="標楷體" w:hint="eastAsia"/>
          <w:sz w:val="28"/>
        </w:rPr>
        <w:t>以澎湖縣為例。</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十二</w:t>
      </w:r>
      <w:r>
        <w:rPr>
          <w:rFonts w:ascii="標楷體" w:eastAsia="標楷體" w:hAnsi="標楷體" w:hint="eastAsia"/>
          <w:sz w:val="28"/>
        </w:rPr>
        <w:t>、</w:t>
      </w:r>
      <w:r w:rsidRPr="00BE607A">
        <w:rPr>
          <w:rFonts w:ascii="標楷體" w:eastAsia="標楷體" w:hAnsi="標楷體" w:hint="eastAsia"/>
          <w:sz w:val="28"/>
        </w:rPr>
        <w:t>澎湖縣實施海洋保育課程之學習成效相關研究</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十三</w:t>
      </w:r>
      <w:r>
        <w:rPr>
          <w:rFonts w:ascii="標楷體" w:eastAsia="標楷體" w:hAnsi="標楷體" w:hint="eastAsia"/>
          <w:sz w:val="28"/>
        </w:rPr>
        <w:t>、</w:t>
      </w:r>
      <w:r w:rsidRPr="00BE607A">
        <w:rPr>
          <w:rFonts w:ascii="標楷體" w:eastAsia="標楷體" w:hAnsi="標楷體" w:hint="eastAsia"/>
          <w:sz w:val="28"/>
        </w:rPr>
        <w:t>澎湖縣海洋教育融入各領域課程教學之相關研究</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十四</w:t>
      </w:r>
      <w:r>
        <w:rPr>
          <w:rFonts w:ascii="標楷體" w:eastAsia="標楷體" w:hAnsi="標楷體" w:hint="eastAsia"/>
          <w:sz w:val="28"/>
        </w:rPr>
        <w:t>、</w:t>
      </w:r>
      <w:r w:rsidRPr="00BE607A">
        <w:rPr>
          <w:rFonts w:ascii="標楷體" w:eastAsia="標楷體" w:hAnsi="標楷體" w:hint="eastAsia"/>
          <w:sz w:val="28"/>
        </w:rPr>
        <w:t>澎湖縣海洋教育課程方案設計及其實施成效之相關研究</w:t>
      </w:r>
      <w:r>
        <w:rPr>
          <w:rFonts w:ascii="標楷體" w:eastAsia="標楷體" w:hAnsi="標楷體" w:hint="eastAsia"/>
          <w:sz w:val="28"/>
        </w:rPr>
        <w:t>。</w:t>
      </w:r>
    </w:p>
    <w:p w:rsidR="005D4DBC" w:rsidRDefault="005D4DBC" w:rsidP="005D4DBC">
      <w:pPr>
        <w:spacing w:line="520" w:lineRule="exact"/>
        <w:ind w:rightChars="-163" w:right="-391"/>
        <w:rPr>
          <w:rFonts w:ascii="標楷體" w:eastAsia="標楷體" w:hAnsi="標楷體"/>
          <w:sz w:val="28"/>
        </w:rPr>
      </w:pPr>
      <w:r>
        <w:rPr>
          <w:rFonts w:ascii="標楷體" w:eastAsia="標楷體" w:hAnsi="標楷體"/>
          <w:sz w:val="28"/>
        </w:rPr>
        <w:t>十五</w:t>
      </w:r>
      <w:r>
        <w:rPr>
          <w:rFonts w:ascii="標楷體" w:eastAsia="標楷體" w:hAnsi="標楷體" w:hint="eastAsia"/>
          <w:sz w:val="28"/>
        </w:rPr>
        <w:t>、</w:t>
      </w:r>
      <w:r w:rsidR="00543F17" w:rsidRPr="00F113F6">
        <w:rPr>
          <w:rFonts w:ascii="標楷體" w:eastAsia="標楷體" w:hAnsi="標楷體" w:hint="eastAsia"/>
          <w:sz w:val="28"/>
        </w:rPr>
        <w:t>澎湖縣國中技藝教育</w:t>
      </w:r>
      <w:r w:rsidR="00543F17">
        <w:rPr>
          <w:rFonts w:ascii="標楷體" w:eastAsia="標楷體" w:hAnsi="標楷體" w:hint="eastAsia"/>
          <w:sz w:val="28"/>
        </w:rPr>
        <w:t>對職業試探之成效及</w:t>
      </w:r>
      <w:r w:rsidR="00543F17" w:rsidRPr="00F113F6">
        <w:rPr>
          <w:rFonts w:ascii="標楷體" w:eastAsia="標楷體" w:hAnsi="標楷體" w:hint="eastAsia"/>
          <w:sz w:val="28"/>
        </w:rPr>
        <w:t>生涯發展認知之相關研</w:t>
      </w:r>
      <w:r w:rsidR="00543F17">
        <w:rPr>
          <w:rFonts w:ascii="標楷體" w:eastAsia="標楷體" w:hAnsi="標楷體" w:hint="eastAsia"/>
          <w:sz w:val="28"/>
        </w:rPr>
        <w:t>究</w:t>
      </w:r>
      <w:r w:rsidR="00543F17">
        <w:rPr>
          <w:rFonts w:ascii="標楷體" w:eastAsia="標楷體" w:hAnsi="標楷體" w:hint="eastAsia"/>
          <w:sz w:val="28"/>
        </w:rPr>
        <w:t>。</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十六</w:t>
      </w:r>
      <w:r>
        <w:rPr>
          <w:rFonts w:ascii="標楷體" w:eastAsia="標楷體" w:hAnsi="標楷體" w:hint="eastAsia"/>
          <w:sz w:val="28"/>
        </w:rPr>
        <w:t>、</w:t>
      </w:r>
      <w:r w:rsidRPr="00D21665">
        <w:rPr>
          <w:rFonts w:ascii="標楷體" w:eastAsia="標楷體" w:hAnsi="標楷體" w:hint="eastAsia"/>
          <w:sz w:val="28"/>
        </w:rPr>
        <w:t>澎湖縣國民</w:t>
      </w:r>
      <w:r w:rsidRPr="00D12844">
        <w:rPr>
          <w:rFonts w:ascii="標楷體" w:eastAsia="標楷體" w:hAnsi="標楷體" w:hint="eastAsia"/>
          <w:sz w:val="28"/>
        </w:rPr>
        <w:t>中學技藝教育之實施與</w:t>
      </w:r>
      <w:r w:rsidRPr="00D21665">
        <w:rPr>
          <w:rFonts w:ascii="標楷體" w:eastAsia="標楷體" w:hAnsi="標楷體" w:hint="eastAsia"/>
          <w:sz w:val="28"/>
        </w:rPr>
        <w:t>成效研究</w:t>
      </w:r>
      <w:r>
        <w:rPr>
          <w:rFonts w:ascii="標楷體" w:eastAsia="標楷體" w:hAnsi="標楷體" w:hint="eastAsia"/>
          <w:sz w:val="28"/>
        </w:rPr>
        <w:t>。</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十七</w:t>
      </w:r>
      <w:r>
        <w:rPr>
          <w:rFonts w:ascii="標楷體" w:eastAsia="標楷體" w:hAnsi="標楷體" w:hint="eastAsia"/>
          <w:sz w:val="28"/>
        </w:rPr>
        <w:t>、</w:t>
      </w:r>
      <w:r>
        <w:rPr>
          <w:rFonts w:ascii="標楷體" w:eastAsia="標楷體" w:hAnsi="標楷體"/>
          <w:sz w:val="28"/>
        </w:rPr>
        <w:t>澎湖群島推動永續發展之研究。</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十八</w:t>
      </w:r>
      <w:r>
        <w:rPr>
          <w:rFonts w:ascii="標楷體" w:eastAsia="標楷體" w:hAnsi="標楷體" w:hint="eastAsia"/>
          <w:sz w:val="28"/>
        </w:rPr>
        <w:t>、</w:t>
      </w:r>
      <w:r>
        <w:rPr>
          <w:rFonts w:ascii="標楷體" w:eastAsia="標楷體" w:hAnsi="標楷體" w:hint="eastAsia"/>
          <w:sz w:val="28"/>
        </w:rPr>
        <w:t>文化觀光景點對地方發展影響之研究-以澎湖群島為例。</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十九</w:t>
      </w:r>
      <w:r>
        <w:rPr>
          <w:rFonts w:ascii="標楷體" w:eastAsia="標楷體" w:hAnsi="標楷體" w:hint="eastAsia"/>
          <w:sz w:val="28"/>
        </w:rPr>
        <w:t>、</w:t>
      </w:r>
      <w:r>
        <w:rPr>
          <w:rFonts w:ascii="標楷體" w:eastAsia="標楷體" w:hAnsi="標楷體" w:hint="eastAsia"/>
          <w:sz w:val="28"/>
        </w:rPr>
        <w:t>離島有線電視數位化政策之研究-以澎湖群島為例。</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二十</w:t>
      </w:r>
      <w:r>
        <w:rPr>
          <w:rFonts w:ascii="標楷體" w:eastAsia="標楷體" w:hAnsi="標楷體" w:hint="eastAsia"/>
          <w:sz w:val="28"/>
        </w:rPr>
        <w:t>、</w:t>
      </w:r>
      <w:r>
        <w:rPr>
          <w:rFonts w:ascii="標楷體" w:eastAsia="標楷體" w:hAnsi="標楷體" w:hint="eastAsia"/>
          <w:sz w:val="28"/>
        </w:rPr>
        <w:t>如何推動澎湖縣廉政治理之研究。</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二一</w:t>
      </w:r>
      <w:r>
        <w:rPr>
          <w:rFonts w:ascii="標楷體" w:eastAsia="標楷體" w:hAnsi="標楷體" w:hint="eastAsia"/>
          <w:sz w:val="28"/>
        </w:rPr>
        <w:t>、</w:t>
      </w:r>
      <w:r>
        <w:rPr>
          <w:rFonts w:ascii="標楷體" w:eastAsia="標楷體" w:hAnsi="標楷體" w:hint="eastAsia"/>
          <w:sz w:val="28"/>
        </w:rPr>
        <w:t>澎湖縣馬公市區停車需求與停車規劃之研究。</w:t>
      </w:r>
    </w:p>
    <w:p w:rsidR="00543F17" w:rsidRDefault="00543F17" w:rsidP="005D4DBC">
      <w:pPr>
        <w:spacing w:line="520" w:lineRule="exact"/>
        <w:ind w:rightChars="-163" w:right="-391"/>
        <w:rPr>
          <w:rFonts w:ascii="Times New Roman" w:eastAsia="標楷體" w:hAnsi="Times New Roman"/>
          <w:sz w:val="28"/>
          <w:szCs w:val="28"/>
        </w:rPr>
      </w:pPr>
      <w:r>
        <w:rPr>
          <w:rFonts w:ascii="標楷體" w:eastAsia="標楷體" w:hAnsi="標楷體"/>
          <w:sz w:val="28"/>
        </w:rPr>
        <w:lastRenderedPageBreak/>
        <w:t>二二</w:t>
      </w:r>
      <w:r>
        <w:rPr>
          <w:rFonts w:ascii="標楷體" w:eastAsia="標楷體" w:hAnsi="標楷體" w:hint="eastAsia"/>
          <w:sz w:val="28"/>
        </w:rPr>
        <w:t>、</w:t>
      </w:r>
      <w:r w:rsidRPr="00C15F41">
        <w:rPr>
          <w:rFonts w:ascii="Times New Roman" w:eastAsia="標楷體" w:hAnsi="Times New Roman" w:hint="eastAsia"/>
          <w:sz w:val="28"/>
          <w:szCs w:val="28"/>
        </w:rPr>
        <w:t>澎湖縣沿近海漁業</w:t>
      </w:r>
      <w:r>
        <w:rPr>
          <w:rFonts w:ascii="Times New Roman" w:eastAsia="標楷體" w:hAnsi="Times New Roman" w:hint="eastAsia"/>
          <w:sz w:val="28"/>
          <w:szCs w:val="28"/>
        </w:rPr>
        <w:t>作業漁船規模與漁具結構之調查分析</w:t>
      </w:r>
      <w:r>
        <w:rPr>
          <w:rFonts w:ascii="Times New Roman" w:eastAsia="標楷體" w:hAnsi="Times New Roman" w:hint="eastAsia"/>
          <w:sz w:val="28"/>
          <w:szCs w:val="28"/>
        </w:rPr>
        <w:t>。</w:t>
      </w:r>
    </w:p>
    <w:p w:rsidR="00543F17" w:rsidRDefault="00543F17" w:rsidP="005D4DBC">
      <w:pPr>
        <w:spacing w:line="520" w:lineRule="exact"/>
        <w:ind w:rightChars="-163" w:right="-391"/>
        <w:rPr>
          <w:rFonts w:ascii="Times New Roman" w:eastAsia="標楷體" w:hAnsi="Times New Roman"/>
          <w:sz w:val="28"/>
          <w:szCs w:val="28"/>
        </w:rPr>
      </w:pPr>
      <w:r>
        <w:rPr>
          <w:rFonts w:ascii="Times New Roman" w:eastAsia="標楷體" w:hAnsi="Times New Roman"/>
          <w:sz w:val="28"/>
          <w:szCs w:val="28"/>
        </w:rPr>
        <w:t>二三</w:t>
      </w:r>
      <w:r>
        <w:rPr>
          <w:rFonts w:ascii="標楷體" w:eastAsia="標楷體" w:hAnsi="標楷體" w:hint="eastAsia"/>
          <w:sz w:val="28"/>
        </w:rPr>
        <w:t>、</w:t>
      </w:r>
      <w:r w:rsidRPr="00CC05C1">
        <w:rPr>
          <w:rFonts w:ascii="Times New Roman" w:eastAsia="標楷體" w:hAnsi="Times New Roman" w:hint="eastAsia"/>
          <w:sz w:val="28"/>
          <w:szCs w:val="28"/>
        </w:rPr>
        <w:t>澎湖縣</w:t>
      </w:r>
      <w:r w:rsidRPr="00C15F41">
        <w:rPr>
          <w:rFonts w:ascii="Times New Roman" w:eastAsia="標楷體" w:hAnsi="Times New Roman" w:hint="eastAsia"/>
          <w:sz w:val="28"/>
          <w:szCs w:val="28"/>
        </w:rPr>
        <w:t>沿近海</w:t>
      </w:r>
      <w:r>
        <w:rPr>
          <w:rFonts w:ascii="Times New Roman" w:eastAsia="標楷體" w:hAnsi="Times New Roman" w:hint="eastAsia"/>
          <w:sz w:val="28"/>
          <w:szCs w:val="28"/>
        </w:rPr>
        <w:t>主要漁業活動之競合關係分析</w:t>
      </w:r>
      <w:r>
        <w:rPr>
          <w:rFonts w:ascii="Times New Roman" w:eastAsia="標楷體" w:hAnsi="Times New Roman" w:hint="eastAsia"/>
          <w:sz w:val="28"/>
          <w:szCs w:val="28"/>
        </w:rPr>
        <w:t>。</w:t>
      </w:r>
    </w:p>
    <w:p w:rsidR="00543F17" w:rsidRDefault="00543F17" w:rsidP="005D4DBC">
      <w:pPr>
        <w:spacing w:line="520" w:lineRule="exact"/>
        <w:ind w:rightChars="-163" w:right="-391"/>
        <w:rPr>
          <w:rFonts w:ascii="Times New Roman" w:eastAsia="標楷體" w:hAnsi="Times New Roman"/>
          <w:sz w:val="28"/>
          <w:szCs w:val="28"/>
        </w:rPr>
      </w:pPr>
      <w:r>
        <w:rPr>
          <w:rFonts w:ascii="Times New Roman" w:eastAsia="標楷體" w:hAnsi="Times New Roman"/>
          <w:sz w:val="28"/>
          <w:szCs w:val="28"/>
        </w:rPr>
        <w:t>二四</w:t>
      </w:r>
      <w:r>
        <w:rPr>
          <w:rFonts w:ascii="標楷體" w:eastAsia="標楷體" w:hAnsi="標楷體" w:hint="eastAsia"/>
          <w:sz w:val="28"/>
        </w:rPr>
        <w:t>、</w:t>
      </w:r>
      <w:r w:rsidRPr="00C15F41">
        <w:rPr>
          <w:rFonts w:ascii="Times New Roman" w:eastAsia="標楷體" w:hAnsi="Times New Roman" w:hint="eastAsia"/>
          <w:sz w:val="28"/>
          <w:szCs w:val="28"/>
        </w:rPr>
        <w:t>澎湖縣沿近海</w:t>
      </w:r>
      <w:r w:rsidRPr="00CC05C1">
        <w:rPr>
          <w:rFonts w:ascii="Times New Roman" w:eastAsia="標楷體" w:hAnsi="Times New Roman" w:hint="eastAsia"/>
          <w:sz w:val="28"/>
          <w:szCs w:val="28"/>
        </w:rPr>
        <w:t>燈火漁業（棒受網及扒網）</w:t>
      </w:r>
      <w:r>
        <w:rPr>
          <w:rFonts w:ascii="Times New Roman" w:eastAsia="標楷體" w:hAnsi="Times New Roman" w:hint="eastAsia"/>
          <w:sz w:val="28"/>
          <w:szCs w:val="28"/>
        </w:rPr>
        <w:t>分布型態</w:t>
      </w:r>
      <w:r w:rsidRPr="00C15F41">
        <w:rPr>
          <w:rFonts w:ascii="Times New Roman" w:eastAsia="標楷體" w:hAnsi="Times New Roman" w:hint="eastAsia"/>
          <w:sz w:val="28"/>
          <w:szCs w:val="28"/>
        </w:rPr>
        <w:t>及</w:t>
      </w:r>
      <w:r w:rsidRPr="00C85A95">
        <w:rPr>
          <w:rFonts w:ascii="Times New Roman" w:eastAsia="標楷體" w:hAnsi="Times New Roman" w:hint="eastAsia"/>
          <w:sz w:val="28"/>
          <w:szCs w:val="28"/>
        </w:rPr>
        <w:t>漁獲能力分析</w:t>
      </w:r>
      <w:r>
        <w:rPr>
          <w:rFonts w:ascii="Times New Roman" w:eastAsia="標楷體" w:hAnsi="Times New Roman" w:hint="eastAsia"/>
          <w:sz w:val="28"/>
          <w:szCs w:val="28"/>
        </w:rPr>
        <w:t>。</w:t>
      </w:r>
    </w:p>
    <w:p w:rsidR="00543F17" w:rsidRDefault="00543F17" w:rsidP="005D4DBC">
      <w:pPr>
        <w:spacing w:line="520" w:lineRule="exact"/>
        <w:ind w:rightChars="-163" w:right="-391"/>
        <w:rPr>
          <w:rFonts w:ascii="Times New Roman" w:eastAsia="標楷體" w:hAnsi="Times New Roman"/>
          <w:sz w:val="28"/>
          <w:szCs w:val="28"/>
        </w:rPr>
      </w:pPr>
      <w:r>
        <w:rPr>
          <w:rFonts w:ascii="Times New Roman" w:eastAsia="標楷體" w:hAnsi="Times New Roman"/>
          <w:sz w:val="28"/>
          <w:szCs w:val="28"/>
        </w:rPr>
        <w:t>二五</w:t>
      </w:r>
      <w:r>
        <w:rPr>
          <w:rFonts w:ascii="標楷體" w:eastAsia="標楷體" w:hAnsi="標楷體" w:hint="eastAsia"/>
          <w:sz w:val="28"/>
        </w:rPr>
        <w:t>、</w:t>
      </w:r>
      <w:r w:rsidRPr="00C15F41">
        <w:rPr>
          <w:rFonts w:ascii="Times New Roman" w:eastAsia="標楷體" w:hAnsi="Times New Roman" w:hint="eastAsia"/>
          <w:sz w:val="28"/>
          <w:szCs w:val="28"/>
        </w:rPr>
        <w:t>澎湖縣沿近海</w:t>
      </w:r>
      <w:r>
        <w:rPr>
          <w:rFonts w:ascii="Times New Roman" w:eastAsia="標楷體" w:hAnsi="Times New Roman" w:hint="eastAsia"/>
          <w:sz w:val="28"/>
          <w:szCs w:val="28"/>
        </w:rPr>
        <w:t>刺</w:t>
      </w:r>
      <w:r w:rsidRPr="00C15F41">
        <w:rPr>
          <w:rFonts w:ascii="Times New Roman" w:eastAsia="標楷體" w:hAnsi="Times New Roman" w:hint="eastAsia"/>
          <w:sz w:val="28"/>
          <w:szCs w:val="28"/>
        </w:rPr>
        <w:t>網漁業活動</w:t>
      </w:r>
      <w:r>
        <w:rPr>
          <w:rFonts w:ascii="Times New Roman" w:eastAsia="標楷體" w:hAnsi="Times New Roman" w:hint="eastAsia"/>
          <w:sz w:val="28"/>
          <w:szCs w:val="28"/>
        </w:rPr>
        <w:t>分布型態</w:t>
      </w:r>
      <w:r w:rsidRPr="00C15F41">
        <w:rPr>
          <w:rFonts w:ascii="Times New Roman" w:eastAsia="標楷體" w:hAnsi="Times New Roman" w:hint="eastAsia"/>
          <w:sz w:val="28"/>
          <w:szCs w:val="28"/>
        </w:rPr>
        <w:t>及</w:t>
      </w:r>
      <w:r w:rsidRPr="00C85A95">
        <w:rPr>
          <w:rFonts w:ascii="Times New Roman" w:eastAsia="標楷體" w:hAnsi="Times New Roman" w:hint="eastAsia"/>
          <w:sz w:val="28"/>
          <w:szCs w:val="28"/>
        </w:rPr>
        <w:t>漁獲能力分析</w:t>
      </w:r>
      <w:r>
        <w:rPr>
          <w:rFonts w:ascii="Times New Roman" w:eastAsia="標楷體" w:hAnsi="Times New Roman" w:hint="eastAsia"/>
          <w:sz w:val="28"/>
          <w:szCs w:val="28"/>
        </w:rPr>
        <w:t>。</w:t>
      </w:r>
    </w:p>
    <w:p w:rsidR="00543F17" w:rsidRDefault="00543F17" w:rsidP="005D4DBC">
      <w:pPr>
        <w:spacing w:line="520" w:lineRule="exact"/>
        <w:ind w:rightChars="-163" w:right="-391"/>
        <w:rPr>
          <w:rFonts w:ascii="Times New Roman" w:eastAsia="標楷體" w:hAnsi="Times New Roman"/>
          <w:sz w:val="28"/>
          <w:szCs w:val="28"/>
        </w:rPr>
      </w:pPr>
      <w:r>
        <w:rPr>
          <w:rFonts w:ascii="標楷體" w:eastAsia="標楷體" w:hAnsi="標楷體" w:hint="eastAsia"/>
          <w:sz w:val="28"/>
        </w:rPr>
        <w:t>二六</w:t>
      </w:r>
      <w:r>
        <w:rPr>
          <w:rFonts w:ascii="標楷體" w:eastAsia="標楷體" w:hAnsi="標楷體" w:hint="eastAsia"/>
          <w:sz w:val="28"/>
        </w:rPr>
        <w:t>、</w:t>
      </w:r>
      <w:r w:rsidRPr="00C15F41">
        <w:rPr>
          <w:rFonts w:ascii="Times New Roman" w:eastAsia="標楷體" w:hAnsi="Times New Roman" w:hint="eastAsia"/>
          <w:sz w:val="28"/>
          <w:szCs w:val="28"/>
        </w:rPr>
        <w:t>澎湖縣沿近海拖網漁業活動</w:t>
      </w:r>
      <w:r>
        <w:rPr>
          <w:rFonts w:ascii="Times New Roman" w:eastAsia="標楷體" w:hAnsi="Times New Roman" w:hint="eastAsia"/>
          <w:sz w:val="28"/>
          <w:szCs w:val="28"/>
        </w:rPr>
        <w:t>分布型態</w:t>
      </w:r>
      <w:r w:rsidRPr="00C15F41">
        <w:rPr>
          <w:rFonts w:ascii="Times New Roman" w:eastAsia="標楷體" w:hAnsi="Times New Roman" w:hint="eastAsia"/>
          <w:sz w:val="28"/>
          <w:szCs w:val="28"/>
        </w:rPr>
        <w:t>及</w:t>
      </w:r>
      <w:r w:rsidRPr="00C85A95">
        <w:rPr>
          <w:rFonts w:ascii="Times New Roman" w:eastAsia="標楷體" w:hAnsi="Times New Roman" w:hint="eastAsia"/>
          <w:sz w:val="28"/>
          <w:szCs w:val="28"/>
        </w:rPr>
        <w:t>漁獲能力分析</w:t>
      </w:r>
      <w:r>
        <w:rPr>
          <w:rFonts w:ascii="Times New Roman" w:eastAsia="標楷體" w:hAnsi="Times New Roman" w:hint="eastAsia"/>
          <w:sz w:val="28"/>
          <w:szCs w:val="28"/>
        </w:rPr>
        <w:t>。</w:t>
      </w:r>
    </w:p>
    <w:p w:rsidR="00543F17" w:rsidRDefault="00543F17" w:rsidP="005D4DBC">
      <w:pPr>
        <w:spacing w:line="520" w:lineRule="exact"/>
        <w:ind w:rightChars="-163" w:right="-391"/>
        <w:rPr>
          <w:rFonts w:ascii="Times New Roman" w:eastAsia="標楷體" w:hAnsi="Times New Roman"/>
          <w:sz w:val="28"/>
          <w:szCs w:val="28"/>
        </w:rPr>
      </w:pPr>
      <w:r>
        <w:rPr>
          <w:rFonts w:ascii="Times New Roman" w:eastAsia="標楷體" w:hAnsi="Times New Roman"/>
          <w:sz w:val="28"/>
          <w:szCs w:val="28"/>
        </w:rPr>
        <w:t>二七</w:t>
      </w:r>
      <w:r>
        <w:rPr>
          <w:rFonts w:ascii="標楷體" w:eastAsia="標楷體" w:hAnsi="標楷體" w:hint="eastAsia"/>
          <w:sz w:val="28"/>
        </w:rPr>
        <w:t>、</w:t>
      </w:r>
      <w:r w:rsidRPr="00C15F41">
        <w:rPr>
          <w:rFonts w:ascii="Times New Roman" w:eastAsia="標楷體" w:hAnsi="Times New Roman" w:hint="eastAsia"/>
          <w:sz w:val="28"/>
          <w:szCs w:val="28"/>
        </w:rPr>
        <w:t>澎湖縣沿近海</w:t>
      </w:r>
      <w:r w:rsidRPr="00CC05C1">
        <w:rPr>
          <w:rFonts w:ascii="Times New Roman" w:eastAsia="標楷體" w:hAnsi="Times New Roman" w:hint="eastAsia"/>
          <w:sz w:val="28"/>
          <w:szCs w:val="28"/>
        </w:rPr>
        <w:t>延繩釣及一支釣</w:t>
      </w:r>
      <w:r w:rsidRPr="00C15F41">
        <w:rPr>
          <w:rFonts w:ascii="Times New Roman" w:eastAsia="標楷體" w:hAnsi="Times New Roman" w:hint="eastAsia"/>
          <w:sz w:val="28"/>
          <w:szCs w:val="28"/>
        </w:rPr>
        <w:t>漁業</w:t>
      </w:r>
      <w:r>
        <w:rPr>
          <w:rFonts w:ascii="Times New Roman" w:eastAsia="標楷體" w:hAnsi="Times New Roman" w:hint="eastAsia"/>
          <w:sz w:val="28"/>
          <w:szCs w:val="28"/>
        </w:rPr>
        <w:t>活動分布型態</w:t>
      </w:r>
      <w:r w:rsidRPr="00C15F41">
        <w:rPr>
          <w:rFonts w:ascii="Times New Roman" w:eastAsia="標楷體" w:hAnsi="Times New Roman" w:hint="eastAsia"/>
          <w:sz w:val="28"/>
          <w:szCs w:val="28"/>
        </w:rPr>
        <w:t>及</w:t>
      </w:r>
      <w:r w:rsidRPr="00C85A95">
        <w:rPr>
          <w:rFonts w:ascii="Times New Roman" w:eastAsia="標楷體" w:hAnsi="Times New Roman" w:hint="eastAsia"/>
          <w:sz w:val="28"/>
          <w:szCs w:val="28"/>
        </w:rPr>
        <w:t>漁獲能力分析</w:t>
      </w:r>
      <w:r>
        <w:rPr>
          <w:rFonts w:ascii="Times New Roman" w:eastAsia="標楷體" w:hAnsi="Times New Roman" w:hint="eastAsia"/>
          <w:sz w:val="28"/>
          <w:szCs w:val="28"/>
        </w:rPr>
        <w:t>。</w:t>
      </w:r>
    </w:p>
    <w:p w:rsidR="00543F17" w:rsidRDefault="00543F17" w:rsidP="005D4DBC">
      <w:pPr>
        <w:spacing w:line="520" w:lineRule="exact"/>
        <w:ind w:rightChars="-163" w:right="-391"/>
        <w:rPr>
          <w:rFonts w:ascii="標楷體" w:eastAsia="標楷體" w:hAnsi="標楷體"/>
          <w:sz w:val="28"/>
        </w:rPr>
      </w:pPr>
      <w:r>
        <w:rPr>
          <w:rFonts w:ascii="Times New Roman" w:eastAsia="標楷體" w:hAnsi="Times New Roman"/>
          <w:sz w:val="28"/>
          <w:szCs w:val="28"/>
        </w:rPr>
        <w:t>二八</w:t>
      </w:r>
      <w:r>
        <w:rPr>
          <w:rFonts w:ascii="標楷體" w:eastAsia="標楷體" w:hAnsi="標楷體" w:hint="eastAsia"/>
          <w:sz w:val="28"/>
        </w:rPr>
        <w:t>、</w:t>
      </w:r>
      <w:r w:rsidRPr="00D31542">
        <w:rPr>
          <w:rFonts w:ascii="標楷體" w:eastAsia="標楷體" w:hAnsi="標楷體" w:hint="eastAsia"/>
          <w:sz w:val="28"/>
        </w:rPr>
        <w:t>澎湖石敢當（厭勝物）相關研究</w:t>
      </w:r>
      <w:r>
        <w:rPr>
          <w:rFonts w:ascii="標楷體" w:eastAsia="標楷體" w:hAnsi="標楷體" w:hint="eastAsia"/>
          <w:sz w:val="28"/>
        </w:rPr>
        <w:t>。</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二九</w:t>
      </w:r>
      <w:r>
        <w:rPr>
          <w:rFonts w:ascii="標楷體" w:eastAsia="標楷體" w:hAnsi="標楷體" w:hint="eastAsia"/>
          <w:sz w:val="28"/>
        </w:rPr>
        <w:t>、</w:t>
      </w:r>
      <w:r w:rsidRPr="00D31542">
        <w:rPr>
          <w:rFonts w:ascii="標楷體" w:eastAsia="標楷體" w:hAnsi="標楷體" w:hint="eastAsia"/>
          <w:sz w:val="28"/>
        </w:rPr>
        <w:t>澎湖常民生活技藝相關研究</w:t>
      </w:r>
      <w:r>
        <w:rPr>
          <w:rFonts w:ascii="標楷體" w:eastAsia="標楷體" w:hAnsi="標楷體" w:hint="eastAsia"/>
          <w:sz w:val="28"/>
        </w:rPr>
        <w:t>。</w:t>
      </w:r>
    </w:p>
    <w:p w:rsidR="00543F17" w:rsidRDefault="00543F17" w:rsidP="005D4DBC">
      <w:pPr>
        <w:spacing w:line="520" w:lineRule="exact"/>
        <w:ind w:rightChars="-163" w:right="-391"/>
        <w:rPr>
          <w:rFonts w:ascii="標楷體" w:eastAsia="標楷體" w:hAnsi="標楷體"/>
          <w:sz w:val="28"/>
        </w:rPr>
      </w:pPr>
      <w:r>
        <w:rPr>
          <w:rFonts w:ascii="標楷體" w:eastAsia="標楷體" w:hAnsi="標楷體"/>
          <w:sz w:val="28"/>
        </w:rPr>
        <w:t>三十</w:t>
      </w:r>
      <w:r>
        <w:rPr>
          <w:rFonts w:ascii="標楷體" w:eastAsia="標楷體" w:hAnsi="標楷體" w:hint="eastAsia"/>
          <w:sz w:val="28"/>
        </w:rPr>
        <w:t>、</w:t>
      </w:r>
      <w:r w:rsidRPr="00D31542">
        <w:rPr>
          <w:rFonts w:ascii="標楷體" w:eastAsia="標楷體" w:hAnsi="標楷體" w:hint="eastAsia"/>
          <w:sz w:val="28"/>
        </w:rPr>
        <w:t>澎湖縣表演藝術團隊專業輔導知能之研究</w:t>
      </w:r>
      <w:r>
        <w:rPr>
          <w:rFonts w:ascii="標楷體" w:eastAsia="標楷體" w:hAnsi="標楷體" w:hint="eastAsia"/>
          <w:sz w:val="28"/>
        </w:rPr>
        <w:t>。</w:t>
      </w:r>
    </w:p>
    <w:p w:rsidR="00543F17" w:rsidRDefault="0082755F" w:rsidP="005D4DBC">
      <w:pPr>
        <w:spacing w:line="520" w:lineRule="exact"/>
        <w:ind w:rightChars="-163" w:right="-391"/>
        <w:rPr>
          <w:rFonts w:ascii="標楷體" w:eastAsia="標楷體" w:hAnsi="標楷體"/>
          <w:sz w:val="28"/>
        </w:rPr>
      </w:pPr>
      <w:r>
        <w:rPr>
          <w:rFonts w:ascii="標楷體" w:eastAsia="標楷體" w:hAnsi="標楷體"/>
          <w:sz w:val="28"/>
        </w:rPr>
        <w:t>三一</w:t>
      </w:r>
      <w:r>
        <w:rPr>
          <w:rFonts w:ascii="標楷體" w:eastAsia="標楷體" w:hAnsi="標楷體" w:hint="eastAsia"/>
          <w:sz w:val="28"/>
        </w:rPr>
        <w:t>、</w:t>
      </w:r>
      <w:r w:rsidRPr="00D31542">
        <w:rPr>
          <w:rFonts w:ascii="標楷體" w:eastAsia="標楷體" w:hAnsi="標楷體" w:hint="eastAsia"/>
          <w:sz w:val="28"/>
        </w:rPr>
        <w:t>澎湖縣表演藝術團體與國民中小學表演藝術共創課程之研究</w:t>
      </w:r>
      <w:r>
        <w:rPr>
          <w:rFonts w:ascii="標楷體" w:eastAsia="標楷體" w:hAnsi="標楷體" w:hint="eastAsia"/>
          <w:sz w:val="28"/>
        </w:rPr>
        <w:t>。</w:t>
      </w:r>
    </w:p>
    <w:p w:rsidR="0082755F" w:rsidRDefault="0082755F" w:rsidP="005D4DBC">
      <w:pPr>
        <w:spacing w:line="520" w:lineRule="exact"/>
        <w:ind w:rightChars="-163" w:right="-391"/>
        <w:rPr>
          <w:rFonts w:ascii="標楷體" w:eastAsia="標楷體" w:hAnsi="標楷體"/>
          <w:sz w:val="28"/>
        </w:rPr>
      </w:pPr>
      <w:r>
        <w:rPr>
          <w:rFonts w:ascii="標楷體" w:eastAsia="標楷體" w:hAnsi="標楷體"/>
          <w:sz w:val="28"/>
        </w:rPr>
        <w:t>三二</w:t>
      </w:r>
      <w:r>
        <w:rPr>
          <w:rFonts w:ascii="標楷體" w:eastAsia="標楷體" w:hAnsi="標楷體" w:hint="eastAsia"/>
          <w:sz w:val="28"/>
        </w:rPr>
        <w:t>、</w:t>
      </w:r>
      <w:r w:rsidRPr="00D31542">
        <w:rPr>
          <w:rFonts w:ascii="標楷體" w:eastAsia="標楷體" w:hAnsi="標楷體" w:hint="eastAsia"/>
          <w:sz w:val="28"/>
        </w:rPr>
        <w:t>澎湖縣表演藝術行銷策略之研究</w:t>
      </w:r>
      <w:r>
        <w:rPr>
          <w:rFonts w:ascii="標楷體" w:eastAsia="標楷體" w:hAnsi="標楷體" w:hint="eastAsia"/>
          <w:sz w:val="28"/>
        </w:rPr>
        <w:t>。</w:t>
      </w:r>
    </w:p>
    <w:p w:rsidR="0082755F" w:rsidRDefault="0082755F" w:rsidP="005D4DBC">
      <w:pPr>
        <w:spacing w:line="520" w:lineRule="exact"/>
        <w:ind w:rightChars="-163" w:right="-391"/>
        <w:rPr>
          <w:rFonts w:ascii="標楷體" w:eastAsia="標楷體" w:hAnsi="標楷體"/>
          <w:sz w:val="28"/>
        </w:rPr>
      </w:pPr>
      <w:r>
        <w:rPr>
          <w:rFonts w:ascii="標楷體" w:eastAsia="標楷體" w:hAnsi="標楷體"/>
          <w:sz w:val="28"/>
        </w:rPr>
        <w:t>三三</w:t>
      </w:r>
      <w:r>
        <w:rPr>
          <w:rFonts w:ascii="標楷體" w:eastAsia="標楷體" w:hAnsi="標楷體" w:hint="eastAsia"/>
          <w:sz w:val="28"/>
        </w:rPr>
        <w:t>、</w:t>
      </w:r>
      <w:r w:rsidRPr="00D31542">
        <w:rPr>
          <w:rFonts w:ascii="標楷體" w:eastAsia="標楷體" w:hAnsi="標楷體" w:hint="eastAsia"/>
          <w:sz w:val="28"/>
        </w:rPr>
        <w:t>澎湖縣推動社區營造營運模式之研究</w:t>
      </w:r>
      <w:r>
        <w:rPr>
          <w:rFonts w:ascii="標楷體" w:eastAsia="標楷體" w:hAnsi="標楷體" w:hint="eastAsia"/>
          <w:sz w:val="28"/>
        </w:rPr>
        <w:t>。</w:t>
      </w:r>
    </w:p>
    <w:p w:rsidR="0082755F" w:rsidRDefault="0082755F" w:rsidP="005D4DBC">
      <w:pPr>
        <w:spacing w:line="520" w:lineRule="exact"/>
        <w:ind w:rightChars="-163" w:right="-391"/>
        <w:rPr>
          <w:rFonts w:ascii="標楷體" w:eastAsia="標楷體" w:hAnsi="標楷體"/>
          <w:sz w:val="28"/>
        </w:rPr>
      </w:pPr>
      <w:r>
        <w:rPr>
          <w:rFonts w:ascii="標楷體" w:eastAsia="標楷體" w:hAnsi="標楷體"/>
          <w:sz w:val="28"/>
        </w:rPr>
        <w:t>三四</w:t>
      </w:r>
      <w:r>
        <w:rPr>
          <w:rFonts w:ascii="標楷體" w:eastAsia="標楷體" w:hAnsi="標楷體" w:hint="eastAsia"/>
          <w:sz w:val="28"/>
        </w:rPr>
        <w:t>、</w:t>
      </w:r>
      <w:r w:rsidRPr="00D31542">
        <w:rPr>
          <w:rFonts w:ascii="標楷體" w:eastAsia="標楷體" w:hAnsi="標楷體" w:hint="eastAsia"/>
          <w:sz w:val="28"/>
        </w:rPr>
        <w:t>澎湖縣進階社區營造公民審議案例研究─以湖西鄉公所為例</w:t>
      </w:r>
      <w:r>
        <w:rPr>
          <w:rFonts w:ascii="標楷體" w:eastAsia="標楷體" w:hAnsi="標楷體" w:hint="eastAsia"/>
          <w:sz w:val="28"/>
        </w:rPr>
        <w:t>。</w:t>
      </w:r>
    </w:p>
    <w:p w:rsidR="0082755F" w:rsidRDefault="0082755F" w:rsidP="005D4DBC">
      <w:pPr>
        <w:spacing w:line="520" w:lineRule="exact"/>
        <w:ind w:rightChars="-163" w:right="-391"/>
        <w:rPr>
          <w:rFonts w:ascii="標楷體" w:eastAsia="標楷體" w:hAnsi="標楷體"/>
          <w:sz w:val="28"/>
        </w:rPr>
      </w:pPr>
      <w:r>
        <w:rPr>
          <w:rFonts w:ascii="標楷體" w:eastAsia="標楷體" w:hAnsi="標楷體"/>
          <w:sz w:val="28"/>
        </w:rPr>
        <w:t>三五</w:t>
      </w:r>
      <w:r>
        <w:rPr>
          <w:rFonts w:ascii="標楷體" w:eastAsia="標楷體" w:hAnsi="標楷體" w:hint="eastAsia"/>
          <w:sz w:val="28"/>
        </w:rPr>
        <w:t>、</w:t>
      </w:r>
      <w:r w:rsidRPr="00D31542">
        <w:rPr>
          <w:rFonts w:ascii="標楷體" w:eastAsia="標楷體" w:hAnsi="標楷體" w:hint="eastAsia"/>
          <w:sz w:val="28"/>
        </w:rPr>
        <w:t>澎湖縣美術家聯展辦理形式之研究</w:t>
      </w:r>
      <w:r>
        <w:rPr>
          <w:rFonts w:ascii="標楷體" w:eastAsia="標楷體" w:hAnsi="標楷體" w:hint="eastAsia"/>
          <w:sz w:val="28"/>
        </w:rPr>
        <w:t>。</w:t>
      </w:r>
    </w:p>
    <w:p w:rsidR="0082755F" w:rsidRDefault="0082755F" w:rsidP="005D4DBC">
      <w:pPr>
        <w:spacing w:line="520" w:lineRule="exact"/>
        <w:ind w:rightChars="-163" w:right="-391"/>
        <w:rPr>
          <w:rFonts w:ascii="標楷體" w:eastAsia="標楷體" w:hAnsi="標楷體"/>
          <w:kern w:val="0"/>
          <w:sz w:val="28"/>
        </w:rPr>
      </w:pPr>
      <w:r>
        <w:rPr>
          <w:rFonts w:ascii="標楷體" w:eastAsia="標楷體" w:hAnsi="標楷體"/>
          <w:sz w:val="28"/>
        </w:rPr>
        <w:t>三六</w:t>
      </w:r>
      <w:r>
        <w:rPr>
          <w:rFonts w:ascii="標楷體" w:eastAsia="標楷體" w:hAnsi="標楷體" w:hint="eastAsia"/>
          <w:sz w:val="28"/>
        </w:rPr>
        <w:t>、</w:t>
      </w:r>
      <w:r w:rsidRPr="00D31542">
        <w:rPr>
          <w:rFonts w:ascii="標楷體" w:eastAsia="標楷體" w:hAnsi="標楷體" w:hint="eastAsia"/>
          <w:kern w:val="0"/>
          <w:sz w:val="28"/>
        </w:rPr>
        <w:t>澎湖縣文化園區與體育館串連規劃之研究</w:t>
      </w:r>
      <w:r>
        <w:rPr>
          <w:rFonts w:ascii="標楷體" w:eastAsia="標楷體" w:hAnsi="標楷體" w:hint="eastAsia"/>
          <w:kern w:val="0"/>
          <w:sz w:val="28"/>
        </w:rPr>
        <w:t>。</w:t>
      </w:r>
    </w:p>
    <w:p w:rsidR="0082755F" w:rsidRDefault="0082755F" w:rsidP="005D4DBC">
      <w:pPr>
        <w:spacing w:line="520" w:lineRule="exact"/>
        <w:ind w:rightChars="-163" w:right="-391"/>
        <w:rPr>
          <w:rFonts w:ascii="標楷體" w:eastAsia="標楷體" w:hAnsi="標楷體"/>
          <w:sz w:val="28"/>
        </w:rPr>
      </w:pPr>
      <w:r>
        <w:rPr>
          <w:rFonts w:ascii="標楷體" w:eastAsia="標楷體" w:hAnsi="標楷體"/>
          <w:kern w:val="0"/>
          <w:sz w:val="28"/>
        </w:rPr>
        <w:t>三七</w:t>
      </w:r>
      <w:r>
        <w:rPr>
          <w:rFonts w:ascii="標楷體" w:eastAsia="標楷體" w:hAnsi="標楷體" w:hint="eastAsia"/>
          <w:sz w:val="28"/>
        </w:rPr>
        <w:t>、</w:t>
      </w:r>
      <w:r w:rsidRPr="00D31542">
        <w:rPr>
          <w:rFonts w:ascii="標楷體" w:eastAsia="標楷體" w:hAnsi="標楷體" w:hint="eastAsia"/>
          <w:sz w:val="28"/>
        </w:rPr>
        <w:t>澎湖手繪彩瓷裝飾藝術與劣化調查初探</w:t>
      </w:r>
      <w:r>
        <w:rPr>
          <w:rFonts w:ascii="標楷體" w:eastAsia="標楷體" w:hAnsi="標楷體" w:hint="eastAsia"/>
          <w:sz w:val="28"/>
        </w:rPr>
        <w:t>。</w:t>
      </w:r>
    </w:p>
    <w:p w:rsidR="0082755F" w:rsidRDefault="0082755F" w:rsidP="005D4DBC">
      <w:pPr>
        <w:spacing w:line="520" w:lineRule="exact"/>
        <w:ind w:rightChars="-163" w:right="-391"/>
        <w:rPr>
          <w:rFonts w:ascii="標楷體" w:eastAsia="標楷體" w:hAnsi="標楷體"/>
          <w:sz w:val="28"/>
        </w:rPr>
      </w:pPr>
      <w:r>
        <w:rPr>
          <w:rFonts w:ascii="標楷體" w:eastAsia="標楷體" w:hAnsi="標楷體"/>
          <w:sz w:val="28"/>
        </w:rPr>
        <w:t>三八</w:t>
      </w:r>
      <w:r>
        <w:rPr>
          <w:rFonts w:ascii="標楷體" w:eastAsia="標楷體" w:hAnsi="標楷體" w:hint="eastAsia"/>
          <w:sz w:val="28"/>
        </w:rPr>
        <w:t>、</w:t>
      </w:r>
      <w:r w:rsidRPr="00D31542">
        <w:rPr>
          <w:rFonts w:ascii="標楷體" w:eastAsia="標楷體" w:hAnsi="標楷體" w:hint="eastAsia"/>
          <w:sz w:val="28"/>
        </w:rPr>
        <w:t>澎湖螺鈿工藝於裝飾藝術中的運用</w:t>
      </w:r>
      <w:r>
        <w:rPr>
          <w:rFonts w:ascii="標楷體" w:eastAsia="標楷體" w:hAnsi="標楷體" w:hint="eastAsia"/>
          <w:sz w:val="28"/>
        </w:rPr>
        <w:t>。</w:t>
      </w:r>
    </w:p>
    <w:p w:rsidR="0082755F" w:rsidRDefault="0082755F" w:rsidP="005D4DBC">
      <w:pPr>
        <w:spacing w:line="520" w:lineRule="exact"/>
        <w:ind w:rightChars="-163" w:right="-391"/>
        <w:rPr>
          <w:rFonts w:ascii="標楷體" w:eastAsia="標楷體" w:hAnsi="標楷體"/>
          <w:sz w:val="28"/>
        </w:rPr>
      </w:pPr>
      <w:r>
        <w:rPr>
          <w:rFonts w:ascii="標楷體" w:eastAsia="標楷體" w:hAnsi="標楷體"/>
          <w:sz w:val="28"/>
        </w:rPr>
        <w:t>三九</w:t>
      </w:r>
      <w:r>
        <w:rPr>
          <w:rFonts w:ascii="標楷體" w:eastAsia="標楷體" w:hAnsi="標楷體" w:hint="eastAsia"/>
          <w:sz w:val="28"/>
        </w:rPr>
        <w:t>、</w:t>
      </w:r>
      <w:r w:rsidRPr="00D31542">
        <w:rPr>
          <w:rFonts w:ascii="標楷體" w:eastAsia="標楷體" w:hAnsi="標楷體" w:hint="eastAsia"/>
          <w:sz w:val="28"/>
        </w:rPr>
        <w:t>澎湖廟宇文物探究(匾額、楹聯、供器法器、家具、碑碣、神轎、圖書</w:t>
      </w:r>
    </w:p>
    <w:p w:rsidR="0082755F" w:rsidRDefault="0082755F" w:rsidP="0082755F">
      <w:pPr>
        <w:spacing w:line="520" w:lineRule="exact"/>
        <w:ind w:rightChars="-163" w:right="-391"/>
        <w:rPr>
          <w:rFonts w:ascii="標楷體" w:eastAsia="標楷體" w:hAnsi="標楷體"/>
          <w:sz w:val="28"/>
        </w:rPr>
      </w:pPr>
      <w:r>
        <w:rPr>
          <w:rFonts w:ascii="標楷體" w:eastAsia="標楷體" w:hAnsi="標楷體"/>
          <w:sz w:val="28"/>
        </w:rPr>
        <w:t xml:space="preserve">      </w:t>
      </w:r>
      <w:r w:rsidRPr="00D31542">
        <w:rPr>
          <w:rFonts w:ascii="標楷體" w:eastAsia="標楷體" w:hAnsi="標楷體" w:hint="eastAsia"/>
          <w:sz w:val="28"/>
        </w:rPr>
        <w:t>文獻等)</w:t>
      </w:r>
      <w:r>
        <w:rPr>
          <w:rFonts w:ascii="標楷體" w:eastAsia="標楷體" w:hAnsi="標楷體" w:hint="eastAsia"/>
          <w:sz w:val="28"/>
        </w:rPr>
        <w:t>。</w:t>
      </w:r>
    </w:p>
    <w:p w:rsidR="0082755F" w:rsidRDefault="0082755F" w:rsidP="0082755F">
      <w:pPr>
        <w:spacing w:line="520" w:lineRule="exact"/>
        <w:ind w:rightChars="-163" w:right="-391"/>
        <w:rPr>
          <w:rFonts w:ascii="標楷體" w:eastAsia="標楷體" w:hAnsi="標楷體"/>
          <w:sz w:val="28"/>
        </w:rPr>
      </w:pPr>
      <w:r>
        <w:rPr>
          <w:rFonts w:ascii="標楷體" w:eastAsia="標楷體" w:hAnsi="標楷體"/>
          <w:sz w:val="28"/>
        </w:rPr>
        <w:t>四十</w:t>
      </w:r>
      <w:r>
        <w:rPr>
          <w:rFonts w:ascii="標楷體" w:eastAsia="標楷體" w:hAnsi="標楷體" w:hint="eastAsia"/>
          <w:sz w:val="28"/>
        </w:rPr>
        <w:t>、</w:t>
      </w:r>
      <w:r w:rsidRPr="00D31542">
        <w:rPr>
          <w:rFonts w:ascii="標楷體" w:eastAsia="標楷體" w:hAnsi="標楷體" w:hint="eastAsia"/>
          <w:sz w:val="28"/>
        </w:rPr>
        <w:t>澎湖教育發展史(制度、學校、教師等)</w:t>
      </w:r>
      <w:r>
        <w:rPr>
          <w:rFonts w:ascii="標楷體" w:eastAsia="標楷體" w:hAnsi="標楷體" w:hint="eastAsia"/>
          <w:sz w:val="28"/>
        </w:rPr>
        <w:t>。</w:t>
      </w:r>
    </w:p>
    <w:p w:rsidR="0082755F" w:rsidRDefault="0082755F" w:rsidP="0082755F">
      <w:pPr>
        <w:spacing w:line="520" w:lineRule="exact"/>
        <w:ind w:rightChars="-163" w:right="-391"/>
        <w:rPr>
          <w:rFonts w:ascii="標楷體" w:eastAsia="標楷體" w:hAnsi="標楷體"/>
          <w:sz w:val="28"/>
          <w:szCs w:val="28"/>
        </w:rPr>
      </w:pPr>
      <w:r>
        <w:rPr>
          <w:rFonts w:ascii="標楷體" w:eastAsia="標楷體" w:hAnsi="標楷體"/>
          <w:sz w:val="28"/>
        </w:rPr>
        <w:t>四一</w:t>
      </w:r>
      <w:r>
        <w:rPr>
          <w:rFonts w:ascii="標楷體" w:eastAsia="標楷體" w:hAnsi="標楷體" w:hint="eastAsia"/>
          <w:sz w:val="28"/>
        </w:rPr>
        <w:t>、</w:t>
      </w:r>
      <w:r w:rsidRPr="00782F0D">
        <w:rPr>
          <w:rFonts w:ascii="標楷體" w:eastAsia="標楷體" w:hAnsi="標楷體" w:hint="eastAsia"/>
          <w:sz w:val="28"/>
          <w:szCs w:val="28"/>
        </w:rPr>
        <w:t>澎湖縣</w:t>
      </w:r>
      <w:r w:rsidRPr="00782F0D">
        <w:rPr>
          <w:rFonts w:ascii="標楷體" w:eastAsia="標楷體" w:hAnsi="標楷體"/>
          <w:sz w:val="28"/>
          <w:szCs w:val="28"/>
        </w:rPr>
        <w:t>公共圖書館作為第三場域與非使用者研究</w:t>
      </w:r>
      <w:r>
        <w:rPr>
          <w:rFonts w:ascii="標楷體" w:eastAsia="標楷體" w:hAnsi="標楷體"/>
          <w:sz w:val="28"/>
          <w:szCs w:val="28"/>
        </w:rPr>
        <w:t>。</w:t>
      </w:r>
    </w:p>
    <w:p w:rsidR="005D1CEB" w:rsidRPr="0082755F" w:rsidRDefault="0082755F" w:rsidP="0082755F">
      <w:pPr>
        <w:spacing w:line="520" w:lineRule="exact"/>
        <w:ind w:rightChars="-163" w:right="-391"/>
        <w:rPr>
          <w:rFonts w:ascii="標楷體" w:eastAsia="標楷體" w:hAnsi="標楷體" w:hint="eastAsia"/>
          <w:sz w:val="28"/>
        </w:rPr>
      </w:pPr>
      <w:r>
        <w:rPr>
          <w:rFonts w:ascii="標楷體" w:eastAsia="標楷體" w:hAnsi="標楷體"/>
          <w:sz w:val="28"/>
          <w:szCs w:val="28"/>
        </w:rPr>
        <w:t>四二</w:t>
      </w:r>
      <w:r>
        <w:rPr>
          <w:rFonts w:ascii="標楷體" w:eastAsia="標楷體" w:hAnsi="標楷體" w:hint="eastAsia"/>
          <w:sz w:val="28"/>
        </w:rPr>
        <w:t>、</w:t>
      </w:r>
      <w:r w:rsidRPr="00D31542">
        <w:rPr>
          <w:rFonts w:ascii="標楷體" w:eastAsia="標楷體" w:hAnsi="標楷體" w:hint="eastAsia"/>
          <w:sz w:val="28"/>
        </w:rPr>
        <w:t>澎湖鸞堂及澎湖鸞書研究</w:t>
      </w:r>
      <w:r>
        <w:rPr>
          <w:rFonts w:ascii="標楷體" w:eastAsia="標楷體" w:hAnsi="標楷體" w:hint="eastAsia"/>
          <w:sz w:val="28"/>
        </w:rPr>
        <w:t>。</w:t>
      </w:r>
    </w:p>
    <w:sectPr w:rsidR="005D1CEB" w:rsidRPr="0082755F" w:rsidSect="00C53CE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03" w:rsidRDefault="00C03F03" w:rsidP="00106D8C">
      <w:r>
        <w:separator/>
      </w:r>
    </w:p>
  </w:endnote>
  <w:endnote w:type="continuationSeparator" w:id="0">
    <w:p w:rsidR="00C03F03" w:rsidRDefault="00C03F03" w:rsidP="0010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03" w:rsidRDefault="00C03F03" w:rsidP="00106D8C">
      <w:r>
        <w:separator/>
      </w:r>
    </w:p>
  </w:footnote>
  <w:footnote w:type="continuationSeparator" w:id="0">
    <w:p w:rsidR="00C03F03" w:rsidRDefault="00C03F03" w:rsidP="00106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E85"/>
    <w:multiLevelType w:val="hybridMultilevel"/>
    <w:tmpl w:val="D730FCBA"/>
    <w:lvl w:ilvl="0" w:tplc="A92EE6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0C3147"/>
    <w:multiLevelType w:val="hybridMultilevel"/>
    <w:tmpl w:val="4552DC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3843017"/>
    <w:multiLevelType w:val="hybridMultilevel"/>
    <w:tmpl w:val="2D241C8E"/>
    <w:lvl w:ilvl="0" w:tplc="E77292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6754D9"/>
    <w:multiLevelType w:val="hybridMultilevel"/>
    <w:tmpl w:val="DCD8F54A"/>
    <w:lvl w:ilvl="0" w:tplc="C096B6CA">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790951"/>
    <w:multiLevelType w:val="hybridMultilevel"/>
    <w:tmpl w:val="26FE2B44"/>
    <w:lvl w:ilvl="0" w:tplc="A92EE6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7EF0656"/>
    <w:multiLevelType w:val="hybridMultilevel"/>
    <w:tmpl w:val="9A542B52"/>
    <w:lvl w:ilvl="0" w:tplc="A92EE6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8434F3"/>
    <w:multiLevelType w:val="hybridMultilevel"/>
    <w:tmpl w:val="229C067A"/>
    <w:lvl w:ilvl="0" w:tplc="A92EE67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EBB2E82"/>
    <w:multiLevelType w:val="hybridMultilevel"/>
    <w:tmpl w:val="A65A645E"/>
    <w:lvl w:ilvl="0" w:tplc="F81C08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EF"/>
    <w:rsid w:val="00035F42"/>
    <w:rsid w:val="000B769E"/>
    <w:rsid w:val="000F3B47"/>
    <w:rsid w:val="00103B82"/>
    <w:rsid w:val="00106D8C"/>
    <w:rsid w:val="00124A84"/>
    <w:rsid w:val="001761EC"/>
    <w:rsid w:val="00194B0A"/>
    <w:rsid w:val="001A5E81"/>
    <w:rsid w:val="001B03BD"/>
    <w:rsid w:val="001E5644"/>
    <w:rsid w:val="00202084"/>
    <w:rsid w:val="00213B3E"/>
    <w:rsid w:val="002464FF"/>
    <w:rsid w:val="0026690A"/>
    <w:rsid w:val="003054F9"/>
    <w:rsid w:val="0034466B"/>
    <w:rsid w:val="003459CE"/>
    <w:rsid w:val="00353790"/>
    <w:rsid w:val="00367122"/>
    <w:rsid w:val="003C2CF4"/>
    <w:rsid w:val="003D278E"/>
    <w:rsid w:val="003F1C47"/>
    <w:rsid w:val="00404471"/>
    <w:rsid w:val="00411D0A"/>
    <w:rsid w:val="0041315F"/>
    <w:rsid w:val="00425807"/>
    <w:rsid w:val="00425C47"/>
    <w:rsid w:val="00442055"/>
    <w:rsid w:val="0047349C"/>
    <w:rsid w:val="0048331F"/>
    <w:rsid w:val="004945AE"/>
    <w:rsid w:val="004B243B"/>
    <w:rsid w:val="0050043C"/>
    <w:rsid w:val="00543F17"/>
    <w:rsid w:val="005B77A0"/>
    <w:rsid w:val="005D1CEB"/>
    <w:rsid w:val="005D4DBC"/>
    <w:rsid w:val="005D646D"/>
    <w:rsid w:val="006108F7"/>
    <w:rsid w:val="006351C0"/>
    <w:rsid w:val="0063525A"/>
    <w:rsid w:val="00676CCF"/>
    <w:rsid w:val="006B73D8"/>
    <w:rsid w:val="006D367E"/>
    <w:rsid w:val="006E154B"/>
    <w:rsid w:val="006F4650"/>
    <w:rsid w:val="007006AA"/>
    <w:rsid w:val="00726D22"/>
    <w:rsid w:val="0075049A"/>
    <w:rsid w:val="007A0341"/>
    <w:rsid w:val="007C0B2A"/>
    <w:rsid w:val="007E008E"/>
    <w:rsid w:val="0082755F"/>
    <w:rsid w:val="00857C86"/>
    <w:rsid w:val="00881FE6"/>
    <w:rsid w:val="0088406B"/>
    <w:rsid w:val="008A61E3"/>
    <w:rsid w:val="008E5254"/>
    <w:rsid w:val="008F7547"/>
    <w:rsid w:val="0091254E"/>
    <w:rsid w:val="009404C0"/>
    <w:rsid w:val="00A36BB1"/>
    <w:rsid w:val="00A744A6"/>
    <w:rsid w:val="00A84935"/>
    <w:rsid w:val="00AA23EF"/>
    <w:rsid w:val="00AA3524"/>
    <w:rsid w:val="00AA5A00"/>
    <w:rsid w:val="00AB7394"/>
    <w:rsid w:val="00AD197B"/>
    <w:rsid w:val="00AF0F79"/>
    <w:rsid w:val="00B109BB"/>
    <w:rsid w:val="00B17F35"/>
    <w:rsid w:val="00B70A43"/>
    <w:rsid w:val="00BA0661"/>
    <w:rsid w:val="00BC5124"/>
    <w:rsid w:val="00BF069B"/>
    <w:rsid w:val="00BF1E99"/>
    <w:rsid w:val="00BF73D1"/>
    <w:rsid w:val="00C03F03"/>
    <w:rsid w:val="00C070F0"/>
    <w:rsid w:val="00C07B11"/>
    <w:rsid w:val="00C10585"/>
    <w:rsid w:val="00C22344"/>
    <w:rsid w:val="00C53CEF"/>
    <w:rsid w:val="00C912D9"/>
    <w:rsid w:val="00CF1951"/>
    <w:rsid w:val="00CF39A1"/>
    <w:rsid w:val="00D10D03"/>
    <w:rsid w:val="00D3625A"/>
    <w:rsid w:val="00D64230"/>
    <w:rsid w:val="00D73D68"/>
    <w:rsid w:val="00D76D00"/>
    <w:rsid w:val="00D85F52"/>
    <w:rsid w:val="00D90ADA"/>
    <w:rsid w:val="00DA548B"/>
    <w:rsid w:val="00DA740E"/>
    <w:rsid w:val="00DB0A18"/>
    <w:rsid w:val="00DE7B36"/>
    <w:rsid w:val="00E378E3"/>
    <w:rsid w:val="00EA3255"/>
    <w:rsid w:val="00EA532D"/>
    <w:rsid w:val="00EB3837"/>
    <w:rsid w:val="00EF18A6"/>
    <w:rsid w:val="00F06354"/>
    <w:rsid w:val="00F11319"/>
    <w:rsid w:val="00F30BB1"/>
    <w:rsid w:val="00F354E9"/>
    <w:rsid w:val="00F50973"/>
    <w:rsid w:val="00F6129D"/>
    <w:rsid w:val="00F64EF1"/>
    <w:rsid w:val="00F65ABB"/>
    <w:rsid w:val="00F93687"/>
    <w:rsid w:val="00FE65A8"/>
    <w:rsid w:val="00FF3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7AD2E-294D-4F09-B363-6E063E87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D22"/>
    <w:pPr>
      <w:ind w:leftChars="200" w:left="480"/>
    </w:pPr>
  </w:style>
  <w:style w:type="paragraph" w:styleId="a4">
    <w:name w:val="header"/>
    <w:basedOn w:val="a"/>
    <w:link w:val="a5"/>
    <w:uiPriority w:val="99"/>
    <w:unhideWhenUsed/>
    <w:rsid w:val="00106D8C"/>
    <w:pPr>
      <w:tabs>
        <w:tab w:val="center" w:pos="4153"/>
        <w:tab w:val="right" w:pos="8306"/>
      </w:tabs>
      <w:snapToGrid w:val="0"/>
    </w:pPr>
    <w:rPr>
      <w:sz w:val="20"/>
      <w:szCs w:val="20"/>
    </w:rPr>
  </w:style>
  <w:style w:type="character" w:customStyle="1" w:styleId="a5">
    <w:name w:val="頁首 字元"/>
    <w:basedOn w:val="a0"/>
    <w:link w:val="a4"/>
    <w:uiPriority w:val="99"/>
    <w:rsid w:val="00106D8C"/>
    <w:rPr>
      <w:sz w:val="20"/>
      <w:szCs w:val="20"/>
    </w:rPr>
  </w:style>
  <w:style w:type="paragraph" w:styleId="a6">
    <w:name w:val="footer"/>
    <w:basedOn w:val="a"/>
    <w:link w:val="a7"/>
    <w:uiPriority w:val="99"/>
    <w:unhideWhenUsed/>
    <w:rsid w:val="00106D8C"/>
    <w:pPr>
      <w:tabs>
        <w:tab w:val="center" w:pos="4153"/>
        <w:tab w:val="right" w:pos="8306"/>
      </w:tabs>
      <w:snapToGrid w:val="0"/>
    </w:pPr>
    <w:rPr>
      <w:sz w:val="20"/>
      <w:szCs w:val="20"/>
    </w:rPr>
  </w:style>
  <w:style w:type="character" w:customStyle="1" w:styleId="a7">
    <w:name w:val="頁尾 字元"/>
    <w:basedOn w:val="a0"/>
    <w:link w:val="a6"/>
    <w:uiPriority w:val="99"/>
    <w:rsid w:val="00106D8C"/>
    <w:rPr>
      <w:sz w:val="20"/>
      <w:szCs w:val="20"/>
    </w:rPr>
  </w:style>
  <w:style w:type="paragraph" w:styleId="a8">
    <w:name w:val="Balloon Text"/>
    <w:basedOn w:val="a"/>
    <w:link w:val="a9"/>
    <w:uiPriority w:val="99"/>
    <w:semiHidden/>
    <w:unhideWhenUsed/>
    <w:rsid w:val="00106D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6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1DCA-69D2-43AD-A590-6BB0304D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吳宗信</dc:creator>
  <cp:keywords/>
  <dc:description/>
  <cp:lastModifiedBy>莊澧霖</cp:lastModifiedBy>
  <cp:revision>2</cp:revision>
  <cp:lastPrinted>2019-08-16T07:07:00Z</cp:lastPrinted>
  <dcterms:created xsi:type="dcterms:W3CDTF">2020-06-24T07:26:00Z</dcterms:created>
  <dcterms:modified xsi:type="dcterms:W3CDTF">2020-06-24T07:26:00Z</dcterms:modified>
</cp:coreProperties>
</file>