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EE" w:rsidRPr="00B972EE" w:rsidRDefault="00B972EE" w:rsidP="00B972EE">
      <w:pPr>
        <w:jc w:val="center"/>
        <w:rPr>
          <w:rFonts w:ascii="標楷體" w:eastAsia="標楷體" w:hAnsi="標楷體"/>
          <w:b/>
          <w:sz w:val="32"/>
          <w:szCs w:val="32"/>
        </w:rPr>
      </w:pPr>
      <w:r w:rsidRPr="00B972EE">
        <w:rPr>
          <w:rFonts w:ascii="標楷體" w:eastAsia="標楷體" w:hAnsi="標楷體" w:hint="eastAsia"/>
          <w:b/>
          <w:sz w:val="32"/>
          <w:szCs w:val="32"/>
        </w:rPr>
        <w:t>國立嘉義大學校務基金稽核實施辦法</w:t>
      </w:r>
    </w:p>
    <w:p w:rsidR="00B972EE" w:rsidRPr="00B972EE" w:rsidRDefault="00CF3A16" w:rsidP="00CF3A16">
      <w:pPr>
        <w:spacing w:line="360" w:lineRule="exact"/>
        <w:ind w:leftChars="1831" w:left="4394"/>
        <w:jc w:val="distribute"/>
        <w:rPr>
          <w:rFonts w:ascii="標楷體" w:eastAsia="標楷體" w:hAnsi="標楷體"/>
          <w:sz w:val="22"/>
        </w:rPr>
      </w:pPr>
      <w:r>
        <w:rPr>
          <w:rFonts w:ascii="標楷體" w:eastAsia="標楷體" w:hAnsi="標楷體" w:hint="eastAsia"/>
          <w:sz w:val="22"/>
        </w:rPr>
        <w:t>104</w:t>
      </w:r>
      <w:r w:rsidR="00B972EE" w:rsidRPr="00B972EE">
        <w:rPr>
          <w:rFonts w:ascii="標楷體" w:eastAsia="標楷體" w:hAnsi="標楷體" w:hint="eastAsia"/>
          <w:sz w:val="22"/>
        </w:rPr>
        <w:t>年</w:t>
      </w:r>
      <w:r>
        <w:rPr>
          <w:rFonts w:ascii="標楷體" w:eastAsia="標楷體" w:hAnsi="標楷體" w:hint="eastAsia"/>
          <w:sz w:val="22"/>
        </w:rPr>
        <w:t>12</w:t>
      </w:r>
      <w:r w:rsidR="00B972EE" w:rsidRPr="00B972EE">
        <w:rPr>
          <w:rFonts w:ascii="標楷體" w:eastAsia="標楷體" w:hAnsi="標楷體" w:hint="eastAsia"/>
          <w:sz w:val="22"/>
        </w:rPr>
        <w:t>月</w:t>
      </w:r>
      <w:r>
        <w:rPr>
          <w:rFonts w:ascii="標楷體" w:eastAsia="標楷體" w:hAnsi="標楷體" w:hint="eastAsia"/>
          <w:sz w:val="22"/>
        </w:rPr>
        <w:t>15</w:t>
      </w:r>
      <w:r w:rsidR="00B972EE" w:rsidRPr="00B972EE">
        <w:rPr>
          <w:rFonts w:ascii="標楷體" w:eastAsia="標楷體" w:hAnsi="標楷體" w:hint="eastAsia"/>
          <w:sz w:val="22"/>
        </w:rPr>
        <w:t>日</w:t>
      </w:r>
      <w:r>
        <w:rPr>
          <w:rFonts w:ascii="標楷體" w:eastAsia="標楷體" w:hAnsi="標楷體" w:hint="eastAsia"/>
          <w:sz w:val="22"/>
        </w:rPr>
        <w:t>104</w:t>
      </w:r>
      <w:r w:rsidR="00B972EE" w:rsidRPr="00B972EE">
        <w:rPr>
          <w:rFonts w:ascii="標楷體" w:eastAsia="標楷體" w:hAnsi="標楷體" w:hint="eastAsia"/>
          <w:sz w:val="22"/>
        </w:rPr>
        <w:t>學年度第</w:t>
      </w:r>
      <w:r>
        <w:rPr>
          <w:rFonts w:ascii="標楷體" w:eastAsia="標楷體" w:hAnsi="標楷體" w:hint="eastAsia"/>
          <w:sz w:val="22"/>
        </w:rPr>
        <w:t>1</w:t>
      </w:r>
      <w:r w:rsidR="00B972EE" w:rsidRPr="00B972EE">
        <w:rPr>
          <w:rFonts w:ascii="標楷體" w:eastAsia="標楷體" w:hAnsi="標楷體" w:hint="eastAsia"/>
          <w:sz w:val="22"/>
        </w:rPr>
        <w:t>學期第</w:t>
      </w:r>
      <w:r>
        <w:rPr>
          <w:rFonts w:ascii="標楷體" w:eastAsia="標楷體" w:hAnsi="標楷體" w:hint="eastAsia"/>
          <w:sz w:val="22"/>
        </w:rPr>
        <w:t>2</w:t>
      </w:r>
      <w:r w:rsidR="00B972EE" w:rsidRPr="00B972EE">
        <w:rPr>
          <w:rFonts w:ascii="標楷體" w:eastAsia="標楷體" w:hAnsi="標楷體" w:hint="eastAsia"/>
          <w:sz w:val="22"/>
        </w:rPr>
        <w:t>次校務會議通過</w:t>
      </w:r>
    </w:p>
    <w:p w:rsidR="00B972EE" w:rsidRPr="00B972EE" w:rsidRDefault="00CF3A16" w:rsidP="00CF3A16">
      <w:pPr>
        <w:spacing w:line="360" w:lineRule="exact"/>
        <w:ind w:leftChars="1831" w:left="4394"/>
        <w:jc w:val="distribute"/>
        <w:rPr>
          <w:rFonts w:ascii="標楷體" w:eastAsia="標楷體" w:hAnsi="標楷體"/>
          <w:b/>
          <w:sz w:val="22"/>
        </w:rPr>
      </w:pPr>
      <w:r>
        <w:rPr>
          <w:rFonts w:ascii="標楷體" w:eastAsia="標楷體" w:hAnsi="標楷體" w:hint="eastAsia"/>
          <w:b/>
          <w:color w:val="FF0000"/>
          <w:sz w:val="22"/>
        </w:rPr>
        <w:t>110</w:t>
      </w:r>
      <w:r w:rsidR="00B972EE" w:rsidRPr="00B972EE">
        <w:rPr>
          <w:rFonts w:ascii="標楷體" w:eastAsia="標楷體" w:hAnsi="標楷體" w:hint="eastAsia"/>
          <w:b/>
          <w:color w:val="FF0000"/>
          <w:sz w:val="22"/>
        </w:rPr>
        <w:t>年</w:t>
      </w:r>
      <w:r>
        <w:rPr>
          <w:rFonts w:ascii="標楷體" w:eastAsia="標楷體" w:hAnsi="標楷體" w:hint="eastAsia"/>
          <w:b/>
          <w:color w:val="FF0000"/>
          <w:sz w:val="22"/>
        </w:rPr>
        <w:t>10</w:t>
      </w:r>
      <w:r w:rsidR="00B972EE" w:rsidRPr="00B972EE">
        <w:rPr>
          <w:rFonts w:ascii="標楷體" w:eastAsia="標楷體" w:hAnsi="標楷體" w:hint="eastAsia"/>
          <w:b/>
          <w:color w:val="FF0000"/>
          <w:sz w:val="22"/>
        </w:rPr>
        <w:t>月</w:t>
      </w:r>
      <w:r>
        <w:rPr>
          <w:rFonts w:ascii="標楷體" w:eastAsia="標楷體" w:hAnsi="標楷體" w:hint="eastAsia"/>
          <w:b/>
          <w:color w:val="FF0000"/>
          <w:sz w:val="22"/>
        </w:rPr>
        <w:t>12</w:t>
      </w:r>
      <w:r w:rsidR="00B972EE" w:rsidRPr="00B972EE">
        <w:rPr>
          <w:rFonts w:ascii="標楷體" w:eastAsia="標楷體" w:hAnsi="標楷體" w:hint="eastAsia"/>
          <w:b/>
          <w:color w:val="FF0000"/>
          <w:sz w:val="22"/>
        </w:rPr>
        <w:t>日</w:t>
      </w:r>
      <w:r>
        <w:rPr>
          <w:rFonts w:ascii="標楷體" w:eastAsia="標楷體" w:hAnsi="標楷體" w:hint="eastAsia"/>
          <w:b/>
          <w:color w:val="FF0000"/>
          <w:sz w:val="22"/>
        </w:rPr>
        <w:t>110</w:t>
      </w:r>
      <w:r w:rsidR="00B972EE" w:rsidRPr="00B972EE">
        <w:rPr>
          <w:rFonts w:ascii="標楷體" w:eastAsia="標楷體" w:hAnsi="標楷體" w:hint="eastAsia"/>
          <w:b/>
          <w:color w:val="FF0000"/>
          <w:sz w:val="22"/>
        </w:rPr>
        <w:t>學年度第</w:t>
      </w:r>
      <w:r>
        <w:rPr>
          <w:rFonts w:ascii="標楷體" w:eastAsia="標楷體" w:hAnsi="標楷體" w:hint="eastAsia"/>
          <w:b/>
          <w:color w:val="FF0000"/>
          <w:sz w:val="22"/>
        </w:rPr>
        <w:t>1</w:t>
      </w:r>
      <w:r w:rsidR="00B972EE" w:rsidRPr="00B972EE">
        <w:rPr>
          <w:rFonts w:ascii="標楷體" w:eastAsia="標楷體" w:hAnsi="標楷體" w:hint="eastAsia"/>
          <w:b/>
          <w:color w:val="FF0000"/>
          <w:sz w:val="22"/>
        </w:rPr>
        <w:t>學期第</w:t>
      </w:r>
      <w:r>
        <w:rPr>
          <w:rFonts w:ascii="標楷體" w:eastAsia="標楷體" w:hAnsi="標楷體" w:hint="eastAsia"/>
          <w:b/>
          <w:color w:val="FF0000"/>
          <w:sz w:val="22"/>
        </w:rPr>
        <w:t>1</w:t>
      </w:r>
      <w:r w:rsidR="00B972EE" w:rsidRPr="00B972EE">
        <w:rPr>
          <w:rFonts w:ascii="標楷體" w:eastAsia="標楷體" w:hAnsi="標楷體" w:hint="eastAsia"/>
          <w:b/>
          <w:color w:val="FF0000"/>
          <w:sz w:val="22"/>
        </w:rPr>
        <w:t>次校務會議通過</w:t>
      </w:r>
    </w:p>
    <w:p w:rsidR="00B972EE" w:rsidRPr="00B972EE" w:rsidRDefault="00B972EE" w:rsidP="006455B9">
      <w:pPr>
        <w:spacing w:line="560" w:lineRule="exact"/>
        <w:ind w:left="994" w:rightChars="-10" w:right="-24" w:hangingChars="355" w:hanging="994"/>
        <w:jc w:val="both"/>
        <w:rPr>
          <w:rFonts w:ascii="標楷體" w:eastAsia="標楷體" w:hAnsi="標楷體"/>
          <w:sz w:val="28"/>
          <w:szCs w:val="28"/>
        </w:rPr>
      </w:pPr>
      <w:r w:rsidRPr="00B972EE">
        <w:rPr>
          <w:rFonts w:ascii="標楷體" w:eastAsia="標楷體" w:hAnsi="標楷體" w:hint="eastAsia"/>
          <w:sz w:val="28"/>
          <w:szCs w:val="28"/>
        </w:rPr>
        <w:t>第一條 國立嘉義大學(以下簡稱本校)為強化校務基金內部控制及確保其內部控制制度持續有效運作，落實經費稽核之功能，特依「國立大學校院校務基金設置條例」及「國立大學校院校務基金管理及監督辦法」規定訂定本校校務基金稽核實施辦法(以下簡稱本辦法)。</w:t>
      </w:r>
    </w:p>
    <w:p w:rsidR="00B972EE" w:rsidRPr="00B972EE" w:rsidRDefault="00B972EE" w:rsidP="00B972EE">
      <w:pPr>
        <w:spacing w:line="560" w:lineRule="exact"/>
        <w:ind w:left="994" w:hangingChars="355" w:hanging="994"/>
        <w:jc w:val="both"/>
        <w:rPr>
          <w:rFonts w:ascii="標楷體" w:eastAsia="標楷體" w:hAnsi="標楷體"/>
          <w:sz w:val="28"/>
          <w:szCs w:val="28"/>
        </w:rPr>
      </w:pPr>
      <w:r w:rsidRPr="00B972EE">
        <w:rPr>
          <w:rFonts w:ascii="標楷體" w:eastAsia="標楷體" w:hAnsi="標楷體" w:hint="eastAsia"/>
          <w:sz w:val="28"/>
          <w:szCs w:val="28"/>
        </w:rPr>
        <w:t>第二條 本校置專任稽核人員一人至數人隸屬於校長；必要時，得設專責稽核單位，並置稽核主管一人。</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前項專任稽核人員應具稽核工作經驗及相關專業背景，</w:t>
      </w:r>
      <w:r w:rsidRPr="00B972EE">
        <w:rPr>
          <w:rFonts w:ascii="標楷體" w:eastAsia="標楷體" w:hAnsi="標楷體" w:hint="eastAsia"/>
          <w:b/>
          <w:color w:val="FF0000"/>
          <w:sz w:val="28"/>
          <w:szCs w:val="28"/>
          <w:u w:val="single"/>
        </w:rPr>
        <w:t>由校長提經校務會議同意後，由學校進用之，</w:t>
      </w:r>
      <w:r w:rsidRPr="00B972EE">
        <w:rPr>
          <w:rFonts w:ascii="標楷體" w:eastAsia="標楷體" w:hAnsi="標楷體" w:hint="eastAsia"/>
          <w:sz w:val="28"/>
          <w:szCs w:val="28"/>
        </w:rPr>
        <w:t>稽核主管並得以契約進用。</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本校得聘請校內、</w:t>
      </w:r>
      <w:proofErr w:type="gramStart"/>
      <w:r w:rsidRPr="00B972EE">
        <w:rPr>
          <w:rFonts w:ascii="標楷體" w:eastAsia="標楷體" w:hAnsi="標楷體" w:hint="eastAsia"/>
          <w:sz w:val="28"/>
          <w:szCs w:val="28"/>
        </w:rPr>
        <w:t>外具稽核</w:t>
      </w:r>
      <w:proofErr w:type="gramEnd"/>
      <w:r w:rsidRPr="00B972EE">
        <w:rPr>
          <w:rFonts w:ascii="標楷體" w:eastAsia="標楷體" w:hAnsi="標楷體" w:hint="eastAsia"/>
          <w:sz w:val="28"/>
          <w:szCs w:val="28"/>
        </w:rPr>
        <w:t>工作經驗及相關專業背景之人員或教師擔任協同稽核人員，協助執行相關稽核事項。</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校務基金管理委員會之成員、學校總務、主計及行政主管相關人員，不得擔任稽核人員。</w:t>
      </w:r>
    </w:p>
    <w:p w:rsidR="00B972EE" w:rsidRPr="00B972EE" w:rsidRDefault="00B972EE" w:rsidP="00B972EE">
      <w:pPr>
        <w:spacing w:line="560" w:lineRule="exact"/>
        <w:jc w:val="both"/>
        <w:rPr>
          <w:rFonts w:ascii="標楷體" w:eastAsia="標楷體" w:hAnsi="標楷體"/>
          <w:sz w:val="28"/>
          <w:szCs w:val="28"/>
        </w:rPr>
      </w:pPr>
      <w:r w:rsidRPr="00B972EE">
        <w:rPr>
          <w:rFonts w:ascii="標楷體" w:eastAsia="標楷體" w:hAnsi="標楷體" w:hint="eastAsia"/>
          <w:sz w:val="28"/>
          <w:szCs w:val="28"/>
        </w:rPr>
        <w:t>第三條 稽核人員或稽核單位之任務如下：</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一、人事、財務、營運及關係人交易事項，涉及校務基金交易循環之事後查核。</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二、現金出納及壞帳處理之事後查核。</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三、現金、銀行存款、有價證券、股票、債券與固定資產等之稽核及盤點。</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四、校務基金各項業務績效目標達成度之定期評估、</w:t>
      </w:r>
      <w:proofErr w:type="gramStart"/>
      <w:r w:rsidRPr="00B972EE">
        <w:rPr>
          <w:rFonts w:ascii="標楷體" w:eastAsia="標楷體" w:hAnsi="標楷體" w:hint="eastAsia"/>
          <w:sz w:val="28"/>
          <w:szCs w:val="28"/>
        </w:rPr>
        <w:t>稽催及</w:t>
      </w:r>
      <w:proofErr w:type="gramEnd"/>
      <w:r w:rsidRPr="00B972EE">
        <w:rPr>
          <w:rFonts w:ascii="標楷體" w:eastAsia="標楷體" w:hAnsi="標楷體" w:hint="eastAsia"/>
          <w:sz w:val="28"/>
          <w:szCs w:val="28"/>
        </w:rPr>
        <w:t>彙整報告。</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五、校務基金運用效率與各項支出效益之查核及評估。</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六、其他專案稽核事項。</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前項第一款所定交易循環，包括收入循環、採購與支付循環、薪資循環、財產管理循環、投資循環、融資循環及研發循環等。</w:t>
      </w:r>
    </w:p>
    <w:p w:rsidR="00B972EE" w:rsidRPr="00B972EE" w:rsidRDefault="00B972EE" w:rsidP="00B972EE">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稽核人員或稽核單位應依風險評估結果，擬訂年度稽核計畫，經校長同意後實施，並作成年度稽核報告，向校務會</w:t>
      </w:r>
      <w:bookmarkStart w:id="0" w:name="_GoBack"/>
      <w:bookmarkEnd w:id="0"/>
      <w:r w:rsidRPr="00B972EE">
        <w:rPr>
          <w:rFonts w:ascii="標楷體" w:eastAsia="標楷體" w:hAnsi="標楷體" w:hint="eastAsia"/>
          <w:sz w:val="28"/>
          <w:szCs w:val="28"/>
        </w:rPr>
        <w:t>議報告。</w:t>
      </w:r>
    </w:p>
    <w:p w:rsidR="00B972EE" w:rsidRPr="00B972EE" w:rsidRDefault="00B972EE" w:rsidP="00E60A7F">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lastRenderedPageBreak/>
        <w:t>第四條 稽核人員或稽核單位執行前條任務時，應獨立超然，其迴避事項與禁止行為依國立大學校院校務基金管理及監督辦法相關規定辦理。</w:t>
      </w:r>
    </w:p>
    <w:p w:rsidR="00B972EE" w:rsidRPr="00B972EE" w:rsidRDefault="00B972EE" w:rsidP="00E60A7F">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稽核時，各受稽核單位應配合提供相關</w:t>
      </w:r>
      <w:proofErr w:type="gramStart"/>
      <w:r w:rsidRPr="00B972EE">
        <w:rPr>
          <w:rFonts w:ascii="標楷體" w:eastAsia="標楷體" w:hAnsi="標楷體" w:hint="eastAsia"/>
          <w:sz w:val="28"/>
          <w:szCs w:val="28"/>
        </w:rPr>
        <w:t>帳冊</w:t>
      </w:r>
      <w:proofErr w:type="gramEnd"/>
      <w:r w:rsidRPr="00B972EE">
        <w:rPr>
          <w:rFonts w:ascii="標楷體" w:eastAsia="標楷體" w:hAnsi="標楷體" w:hint="eastAsia"/>
          <w:sz w:val="28"/>
          <w:szCs w:val="28"/>
        </w:rPr>
        <w:t>、憑證、文件及其他稽核所需資料。</w:t>
      </w:r>
    </w:p>
    <w:p w:rsidR="00B972EE" w:rsidRPr="00B972EE" w:rsidRDefault="00B972EE" w:rsidP="00E60A7F">
      <w:pPr>
        <w:spacing w:line="560" w:lineRule="exact"/>
        <w:ind w:leftChars="1" w:left="990" w:hangingChars="353" w:hanging="988"/>
        <w:jc w:val="both"/>
        <w:rPr>
          <w:rFonts w:ascii="標楷體" w:eastAsia="標楷體" w:hAnsi="標楷體"/>
          <w:sz w:val="28"/>
          <w:szCs w:val="28"/>
        </w:rPr>
      </w:pPr>
      <w:r w:rsidRPr="00B972EE">
        <w:rPr>
          <w:rFonts w:ascii="標楷體" w:eastAsia="標楷體" w:hAnsi="標楷體" w:hint="eastAsia"/>
          <w:sz w:val="28"/>
          <w:szCs w:val="28"/>
        </w:rPr>
        <w:t>第五條 稽核人員或稽核單位執行任務時，發現校務基金內部控制之制度或執行缺失及異常事項，應於年度稽核報告中據實揭露及提供意見，並應定期追蹤至改善為止。</w:t>
      </w:r>
    </w:p>
    <w:p w:rsidR="00B972EE" w:rsidRPr="00E60A7F" w:rsidRDefault="00B972EE" w:rsidP="00E60A7F">
      <w:pPr>
        <w:spacing w:line="560" w:lineRule="exact"/>
        <w:ind w:leftChars="2" w:left="994" w:hangingChars="353" w:hanging="989"/>
        <w:jc w:val="both"/>
        <w:rPr>
          <w:rFonts w:ascii="標楷體" w:eastAsia="標楷體" w:hAnsi="標楷體"/>
          <w:b/>
          <w:color w:val="FF0000"/>
          <w:sz w:val="28"/>
          <w:szCs w:val="28"/>
          <w:u w:val="single"/>
        </w:rPr>
      </w:pPr>
      <w:r w:rsidRPr="00E60A7F">
        <w:rPr>
          <w:rFonts w:ascii="標楷體" w:eastAsia="標楷體" w:hAnsi="標楷體" w:hint="eastAsia"/>
          <w:b/>
          <w:color w:val="FF0000"/>
          <w:sz w:val="28"/>
          <w:szCs w:val="28"/>
        </w:rPr>
        <w:t>第六條</w:t>
      </w:r>
      <w:r w:rsidRPr="00B972EE">
        <w:rPr>
          <w:rFonts w:ascii="標楷體" w:eastAsia="標楷體" w:hAnsi="標楷體" w:hint="eastAsia"/>
          <w:sz w:val="28"/>
          <w:szCs w:val="28"/>
        </w:rPr>
        <w:t xml:space="preserve"> </w:t>
      </w:r>
      <w:r w:rsidRPr="00E60A7F">
        <w:rPr>
          <w:rFonts w:ascii="標楷體" w:eastAsia="標楷體" w:hAnsi="標楷體" w:hint="eastAsia"/>
          <w:b/>
          <w:color w:val="FF0000"/>
          <w:sz w:val="28"/>
          <w:szCs w:val="28"/>
          <w:u w:val="single"/>
        </w:rPr>
        <w:t>學校各項稽核工作應依下列規定及期程辦理：</w:t>
      </w:r>
    </w:p>
    <w:p w:rsidR="00B972EE" w:rsidRPr="00E60A7F" w:rsidRDefault="00B972EE" w:rsidP="00E60A7F">
      <w:pPr>
        <w:spacing w:line="560" w:lineRule="exact"/>
        <w:ind w:leftChars="413" w:left="991"/>
        <w:jc w:val="both"/>
        <w:rPr>
          <w:rFonts w:ascii="標楷體" w:eastAsia="標楷體" w:hAnsi="標楷體"/>
          <w:b/>
          <w:color w:val="FF0000"/>
          <w:sz w:val="28"/>
          <w:szCs w:val="28"/>
          <w:u w:val="single"/>
        </w:rPr>
      </w:pPr>
      <w:r w:rsidRPr="00E60A7F">
        <w:rPr>
          <w:rFonts w:ascii="標楷體" w:eastAsia="標楷體" w:hAnsi="標楷體" w:hint="eastAsia"/>
          <w:b/>
          <w:color w:val="FF0000"/>
          <w:sz w:val="28"/>
          <w:szCs w:val="28"/>
          <w:u w:val="single"/>
        </w:rPr>
        <w:t>一、年度稽核計畫應於前一年度終了前經校長同意後實施。</w:t>
      </w:r>
    </w:p>
    <w:p w:rsidR="00B972EE" w:rsidRPr="00E60A7F" w:rsidRDefault="00B972EE" w:rsidP="00E60A7F">
      <w:pPr>
        <w:spacing w:line="560" w:lineRule="exact"/>
        <w:ind w:leftChars="413" w:left="991"/>
        <w:jc w:val="both"/>
        <w:rPr>
          <w:rFonts w:ascii="標楷體" w:eastAsia="標楷體" w:hAnsi="標楷體"/>
          <w:b/>
          <w:color w:val="FF0000"/>
          <w:sz w:val="28"/>
          <w:szCs w:val="28"/>
          <w:u w:val="single"/>
        </w:rPr>
      </w:pPr>
      <w:r w:rsidRPr="00E60A7F">
        <w:rPr>
          <w:rFonts w:ascii="標楷體" w:eastAsia="標楷體" w:hAnsi="標楷體" w:hint="eastAsia"/>
          <w:b/>
          <w:color w:val="FF0000"/>
          <w:sz w:val="28"/>
          <w:szCs w:val="28"/>
          <w:u w:val="single"/>
        </w:rPr>
        <w:t>二、每年二月底前作成前一年度稽核報告，並檢附工作底稿及相關資料。</w:t>
      </w:r>
    </w:p>
    <w:p w:rsidR="00B972EE" w:rsidRPr="00E60A7F" w:rsidRDefault="00B972EE" w:rsidP="00E60A7F">
      <w:pPr>
        <w:spacing w:line="560" w:lineRule="exact"/>
        <w:ind w:leftChars="413" w:left="991"/>
        <w:jc w:val="both"/>
        <w:rPr>
          <w:rFonts w:ascii="標楷體" w:eastAsia="標楷體" w:hAnsi="標楷體"/>
          <w:b/>
          <w:color w:val="FF0000"/>
          <w:sz w:val="28"/>
          <w:szCs w:val="28"/>
          <w:u w:val="single"/>
        </w:rPr>
      </w:pPr>
      <w:r w:rsidRPr="00E60A7F">
        <w:rPr>
          <w:rFonts w:ascii="標楷體" w:eastAsia="標楷體" w:hAnsi="標楷體" w:hint="eastAsia"/>
          <w:b/>
          <w:color w:val="FF0000"/>
          <w:sz w:val="28"/>
          <w:szCs w:val="28"/>
          <w:u w:val="single"/>
        </w:rPr>
        <w:t>前項第二款年度稽核報告，應完整記錄稽核情形，並應包括下列事項：</w:t>
      </w:r>
    </w:p>
    <w:p w:rsidR="00B972EE" w:rsidRPr="00E60A7F" w:rsidRDefault="00B972EE" w:rsidP="00E60A7F">
      <w:pPr>
        <w:spacing w:line="560" w:lineRule="exact"/>
        <w:ind w:leftChars="413" w:left="991"/>
        <w:jc w:val="both"/>
        <w:rPr>
          <w:rFonts w:ascii="標楷體" w:eastAsia="標楷體" w:hAnsi="標楷體"/>
          <w:b/>
          <w:color w:val="FF0000"/>
          <w:sz w:val="28"/>
          <w:szCs w:val="28"/>
          <w:u w:val="single"/>
        </w:rPr>
      </w:pPr>
      <w:r w:rsidRPr="00E60A7F">
        <w:rPr>
          <w:rFonts w:ascii="標楷體" w:eastAsia="標楷體" w:hAnsi="標楷體" w:hint="eastAsia"/>
          <w:b/>
          <w:color w:val="FF0000"/>
          <w:sz w:val="28"/>
          <w:szCs w:val="28"/>
          <w:u w:val="single"/>
        </w:rPr>
        <w:t>一、稽核項目、稽核內容及說明。</w:t>
      </w:r>
    </w:p>
    <w:p w:rsidR="00B972EE" w:rsidRPr="00E60A7F" w:rsidRDefault="00B972EE" w:rsidP="00E60A7F">
      <w:pPr>
        <w:spacing w:line="560" w:lineRule="exact"/>
        <w:ind w:leftChars="413" w:left="991"/>
        <w:jc w:val="both"/>
        <w:rPr>
          <w:rFonts w:ascii="標楷體" w:eastAsia="標楷體" w:hAnsi="標楷體"/>
          <w:b/>
          <w:color w:val="FF0000"/>
          <w:sz w:val="28"/>
          <w:szCs w:val="28"/>
          <w:u w:val="single"/>
        </w:rPr>
      </w:pPr>
      <w:r w:rsidRPr="00E60A7F">
        <w:rPr>
          <w:rFonts w:ascii="標楷體" w:eastAsia="標楷體" w:hAnsi="標楷體" w:hint="eastAsia"/>
          <w:b/>
          <w:color w:val="FF0000"/>
          <w:sz w:val="28"/>
          <w:szCs w:val="28"/>
          <w:u w:val="single"/>
        </w:rPr>
        <w:t>二、稽核方式。</w:t>
      </w:r>
    </w:p>
    <w:p w:rsidR="00B972EE" w:rsidRPr="00E60A7F" w:rsidRDefault="00B972EE" w:rsidP="00E60A7F">
      <w:pPr>
        <w:spacing w:line="560" w:lineRule="exact"/>
        <w:ind w:leftChars="413" w:left="991"/>
        <w:jc w:val="both"/>
        <w:rPr>
          <w:rFonts w:ascii="標楷體" w:eastAsia="標楷體" w:hAnsi="標楷體"/>
          <w:b/>
          <w:color w:val="FF0000"/>
          <w:sz w:val="28"/>
          <w:szCs w:val="28"/>
          <w:u w:val="single"/>
        </w:rPr>
      </w:pPr>
      <w:r w:rsidRPr="00E60A7F">
        <w:rPr>
          <w:rFonts w:ascii="標楷體" w:eastAsia="標楷體" w:hAnsi="標楷體" w:hint="eastAsia"/>
          <w:b/>
          <w:color w:val="FF0000"/>
          <w:sz w:val="28"/>
          <w:szCs w:val="28"/>
          <w:u w:val="single"/>
        </w:rPr>
        <w:t>三、稽核發現及稽核結論。</w:t>
      </w:r>
    </w:p>
    <w:p w:rsidR="00B972EE" w:rsidRPr="00B972EE" w:rsidRDefault="00B972EE" w:rsidP="00E60A7F">
      <w:pPr>
        <w:spacing w:line="560" w:lineRule="exact"/>
        <w:ind w:leftChars="413" w:left="991"/>
        <w:jc w:val="both"/>
        <w:rPr>
          <w:rFonts w:ascii="標楷體" w:eastAsia="標楷體" w:hAnsi="標楷體"/>
          <w:sz w:val="28"/>
          <w:szCs w:val="28"/>
        </w:rPr>
      </w:pPr>
      <w:r w:rsidRPr="00E60A7F">
        <w:rPr>
          <w:rFonts w:ascii="標楷體" w:eastAsia="標楷體" w:hAnsi="標楷體" w:hint="eastAsia"/>
          <w:b/>
          <w:color w:val="FF0000"/>
          <w:sz w:val="28"/>
          <w:szCs w:val="28"/>
          <w:u w:val="single"/>
        </w:rPr>
        <w:t>四、改善措施或具體興革建議。</w:t>
      </w:r>
    </w:p>
    <w:p w:rsidR="00B972EE" w:rsidRDefault="00B972EE" w:rsidP="00E60A7F">
      <w:pPr>
        <w:spacing w:line="560" w:lineRule="exact"/>
        <w:jc w:val="both"/>
        <w:rPr>
          <w:rFonts w:ascii="標楷體" w:eastAsia="標楷體" w:hAnsi="標楷體"/>
          <w:sz w:val="28"/>
          <w:szCs w:val="28"/>
        </w:rPr>
      </w:pPr>
      <w:r w:rsidRPr="00B972EE">
        <w:rPr>
          <w:rFonts w:ascii="標楷體" w:eastAsia="標楷體" w:hAnsi="標楷體" w:hint="eastAsia"/>
          <w:sz w:val="28"/>
          <w:szCs w:val="28"/>
        </w:rPr>
        <w:t>第</w:t>
      </w:r>
      <w:r w:rsidRPr="00E60A7F">
        <w:rPr>
          <w:rFonts w:ascii="標楷體" w:eastAsia="標楷體" w:hAnsi="標楷體" w:hint="eastAsia"/>
          <w:b/>
          <w:color w:val="FF0000"/>
          <w:sz w:val="28"/>
          <w:szCs w:val="28"/>
          <w:u w:val="single"/>
        </w:rPr>
        <w:t>七</w:t>
      </w:r>
      <w:r w:rsidRPr="00B972EE">
        <w:rPr>
          <w:rFonts w:ascii="標楷體" w:eastAsia="標楷體" w:hAnsi="標楷體" w:hint="eastAsia"/>
          <w:sz w:val="28"/>
          <w:szCs w:val="28"/>
        </w:rPr>
        <w:t>條 受稽核單位未於期限內完成改善事項或未執行改善追蹤事項者，應列入下次</w:t>
      </w:r>
      <w:proofErr w:type="gramStart"/>
      <w:r w:rsidRPr="00B972EE">
        <w:rPr>
          <w:rFonts w:ascii="標楷體" w:eastAsia="標楷體" w:hAnsi="標楷體" w:hint="eastAsia"/>
          <w:sz w:val="28"/>
          <w:szCs w:val="28"/>
        </w:rPr>
        <w:t>稽</w:t>
      </w:r>
      <w:proofErr w:type="gramEnd"/>
    </w:p>
    <w:p w:rsidR="00E60A7F" w:rsidRPr="00B972EE" w:rsidRDefault="00E60A7F" w:rsidP="00E60A7F">
      <w:pPr>
        <w:spacing w:line="560" w:lineRule="exact"/>
        <w:ind w:leftChars="413" w:left="991"/>
        <w:jc w:val="both"/>
        <w:rPr>
          <w:rFonts w:ascii="標楷體" w:eastAsia="標楷體" w:hAnsi="標楷體"/>
          <w:sz w:val="28"/>
          <w:szCs w:val="28"/>
        </w:rPr>
      </w:pPr>
      <w:r w:rsidRPr="00B972EE">
        <w:rPr>
          <w:rFonts w:ascii="標楷體" w:eastAsia="標楷體" w:hAnsi="標楷體" w:hint="eastAsia"/>
          <w:sz w:val="28"/>
          <w:szCs w:val="28"/>
        </w:rPr>
        <w:t>核重點，並得依本校相關獎懲規定辦理。</w:t>
      </w:r>
    </w:p>
    <w:p w:rsidR="002876E3" w:rsidRPr="00B972EE" w:rsidRDefault="00B972EE" w:rsidP="00B972EE">
      <w:pPr>
        <w:spacing w:line="560" w:lineRule="exact"/>
        <w:jc w:val="both"/>
        <w:rPr>
          <w:rFonts w:ascii="標楷體" w:eastAsia="標楷體" w:hAnsi="標楷體"/>
          <w:sz w:val="28"/>
          <w:szCs w:val="28"/>
        </w:rPr>
      </w:pPr>
      <w:r w:rsidRPr="00B972EE">
        <w:rPr>
          <w:rFonts w:ascii="標楷體" w:eastAsia="標楷體" w:hAnsi="標楷體" w:hint="eastAsia"/>
          <w:sz w:val="28"/>
          <w:szCs w:val="28"/>
        </w:rPr>
        <w:t>第</w:t>
      </w:r>
      <w:r w:rsidRPr="00E60A7F">
        <w:rPr>
          <w:rFonts w:ascii="標楷體" w:eastAsia="標楷體" w:hAnsi="標楷體" w:hint="eastAsia"/>
          <w:b/>
          <w:color w:val="FF0000"/>
          <w:sz w:val="28"/>
          <w:szCs w:val="28"/>
          <w:u w:val="single"/>
        </w:rPr>
        <w:t>八</w:t>
      </w:r>
      <w:r w:rsidRPr="00B972EE">
        <w:rPr>
          <w:rFonts w:ascii="標楷體" w:eastAsia="標楷體" w:hAnsi="標楷體" w:hint="eastAsia"/>
          <w:sz w:val="28"/>
          <w:szCs w:val="28"/>
        </w:rPr>
        <w:t>條 本辦法經校務會議通過，陳請校長核定後實施。</w:t>
      </w:r>
    </w:p>
    <w:sectPr w:rsidR="002876E3" w:rsidRPr="00B972EE" w:rsidSect="00B972EE">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1E" w:rsidRDefault="00BE381E" w:rsidP="0014348B">
      <w:r>
        <w:separator/>
      </w:r>
    </w:p>
  </w:endnote>
  <w:endnote w:type="continuationSeparator" w:id="0">
    <w:p w:rsidR="00BE381E" w:rsidRDefault="00BE381E" w:rsidP="0014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11383"/>
      <w:docPartObj>
        <w:docPartGallery w:val="Page Numbers (Bottom of Page)"/>
        <w:docPartUnique/>
      </w:docPartObj>
    </w:sdtPr>
    <w:sdtEndPr>
      <w:rPr>
        <w:sz w:val="24"/>
        <w:szCs w:val="24"/>
      </w:rPr>
    </w:sdtEndPr>
    <w:sdtContent>
      <w:p w:rsidR="0014348B" w:rsidRPr="00265B44" w:rsidRDefault="0014348B" w:rsidP="00265B44">
        <w:pPr>
          <w:pStyle w:val="a6"/>
          <w:jc w:val="center"/>
          <w:rPr>
            <w:rFonts w:hint="eastAsia"/>
            <w:sz w:val="24"/>
            <w:szCs w:val="24"/>
          </w:rPr>
        </w:pPr>
        <w:r w:rsidRPr="0014348B">
          <w:rPr>
            <w:sz w:val="24"/>
            <w:szCs w:val="24"/>
          </w:rPr>
          <w:fldChar w:fldCharType="begin"/>
        </w:r>
        <w:r w:rsidRPr="0014348B">
          <w:rPr>
            <w:sz w:val="24"/>
            <w:szCs w:val="24"/>
          </w:rPr>
          <w:instrText>PAGE   \* MERGEFORMAT</w:instrText>
        </w:r>
        <w:r w:rsidRPr="0014348B">
          <w:rPr>
            <w:sz w:val="24"/>
            <w:szCs w:val="24"/>
          </w:rPr>
          <w:fldChar w:fldCharType="separate"/>
        </w:r>
        <w:r w:rsidR="00265B44" w:rsidRPr="00265B44">
          <w:rPr>
            <w:noProof/>
            <w:sz w:val="24"/>
            <w:szCs w:val="24"/>
            <w:lang w:val="zh-TW"/>
          </w:rPr>
          <w:t>2</w:t>
        </w:r>
        <w:r w:rsidRPr="0014348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1E" w:rsidRDefault="00BE381E" w:rsidP="0014348B">
      <w:r>
        <w:separator/>
      </w:r>
    </w:p>
  </w:footnote>
  <w:footnote w:type="continuationSeparator" w:id="0">
    <w:p w:rsidR="00BE381E" w:rsidRDefault="00BE381E" w:rsidP="0014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492"/>
    <w:multiLevelType w:val="hybridMultilevel"/>
    <w:tmpl w:val="6E32FF50"/>
    <w:lvl w:ilvl="0" w:tplc="579211EA">
      <w:start w:val="1"/>
      <w:numFmt w:val="taiwaneseCountingThousand"/>
      <w:lvlText w:val="%1、"/>
      <w:lvlJc w:val="left"/>
      <w:pPr>
        <w:ind w:left="720" w:hanging="720"/>
      </w:pPr>
      <w:rPr>
        <w:rFonts w:hint="default"/>
        <w:lang w:val="en-US"/>
      </w:rPr>
    </w:lvl>
    <w:lvl w:ilvl="1" w:tplc="3906EDF2">
      <w:start w:val="1"/>
      <w:numFmt w:val="taiwaneseCountingThousand"/>
      <w:suff w:val="nothing"/>
      <w:lvlText w:val="（%2）"/>
      <w:lvlJc w:val="left"/>
      <w:pPr>
        <w:ind w:left="2324" w:hanging="480"/>
      </w:pPr>
      <w:rPr>
        <w:rFonts w:hint="eastAsia"/>
        <w:b/>
      </w:rPr>
    </w:lvl>
    <w:lvl w:ilvl="2" w:tplc="0409001B">
      <w:start w:val="1"/>
      <w:numFmt w:val="lowerRoman"/>
      <w:lvlText w:val="%3."/>
      <w:lvlJc w:val="right"/>
      <w:pPr>
        <w:ind w:left="1440" w:hanging="480"/>
      </w:pPr>
    </w:lvl>
    <w:lvl w:ilvl="3" w:tplc="125C9226">
      <w:start w:val="1"/>
      <w:numFmt w:val="decimal"/>
      <w:lvlText w:val="%4."/>
      <w:lvlJc w:val="left"/>
      <w:pPr>
        <w:ind w:left="502" w:hanging="360"/>
      </w:pPr>
      <w:rPr>
        <w:rFonts w:hint="default"/>
        <w:color w:val="auto"/>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7E5753"/>
    <w:multiLevelType w:val="multilevel"/>
    <w:tmpl w:val="4CA4A4A6"/>
    <w:lvl w:ilvl="0">
      <w:start w:val="1"/>
      <w:numFmt w:val="ideographLegalTraditional"/>
      <w:pStyle w:val="0-"/>
      <w:suff w:val="nothing"/>
      <w:lvlText w:val="%1、"/>
      <w:lvlJc w:val="left"/>
      <w:pPr>
        <w:ind w:left="0" w:firstLine="0"/>
      </w:pPr>
      <w:rPr>
        <w:rFonts w:hint="default"/>
        <w:color w:val="000000"/>
      </w:rPr>
    </w:lvl>
    <w:lvl w:ilvl="1">
      <w:start w:val="1"/>
      <w:numFmt w:val="taiwaneseCountingThousand"/>
      <w:pStyle w:val="0-0"/>
      <w:lvlText w:val="※提案%2"/>
      <w:lvlJc w:val="left"/>
      <w:pPr>
        <w:ind w:left="0" w:firstLine="0"/>
      </w:pPr>
      <w:rPr>
        <w:rFonts w:hint="eastAsia"/>
      </w:rPr>
    </w:lvl>
    <w:lvl w:ilvl="2">
      <w:start w:val="1"/>
      <w:numFmt w:val="taiwaneseCountingThousand"/>
      <w:pStyle w:val="0-1"/>
      <w:suff w:val="nothing"/>
      <w:lvlText w:val="%3、"/>
      <w:lvlJc w:val="right"/>
      <w:pPr>
        <w:ind w:left="851" w:firstLine="0"/>
      </w:pPr>
      <w:rPr>
        <w:rFonts w:hint="eastAsia"/>
        <w:b w:val="0"/>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EE"/>
    <w:rsid w:val="0014348B"/>
    <w:rsid w:val="00265B44"/>
    <w:rsid w:val="00277C38"/>
    <w:rsid w:val="002876E3"/>
    <w:rsid w:val="0032537B"/>
    <w:rsid w:val="003A58E4"/>
    <w:rsid w:val="006455B9"/>
    <w:rsid w:val="008F58F1"/>
    <w:rsid w:val="00946DAE"/>
    <w:rsid w:val="009E2C41"/>
    <w:rsid w:val="00A75CB8"/>
    <w:rsid w:val="00A950A7"/>
    <w:rsid w:val="00B972EE"/>
    <w:rsid w:val="00BE381E"/>
    <w:rsid w:val="00CF3A16"/>
    <w:rsid w:val="00DB0BA6"/>
    <w:rsid w:val="00E60A7F"/>
    <w:rsid w:val="00FB0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E07C"/>
  <w15:chartTrackingRefBased/>
  <w15:docId w15:val="{2DBD5127-A2EB-4A71-8566-069646C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提案"/>
    <w:basedOn w:val="a"/>
    <w:link w:val="0-2"/>
    <w:qFormat/>
    <w:rsid w:val="00A75CB8"/>
    <w:pPr>
      <w:numPr>
        <w:ilvl w:val="1"/>
        <w:numId w:val="4"/>
      </w:numPr>
      <w:spacing w:beforeLines="50" w:before="180" w:line="420" w:lineRule="exact"/>
      <w:jc w:val="both"/>
    </w:pPr>
    <w:rPr>
      <w:rFonts w:ascii="Times New Roman" w:eastAsia="標楷體" w:hAnsi="Times New Roman" w:cs="Times New Roman"/>
      <w:b/>
      <w:sz w:val="28"/>
      <w:szCs w:val="28"/>
    </w:rPr>
  </w:style>
  <w:style w:type="character" w:customStyle="1" w:styleId="0-2">
    <w:name w:val="0-※提案 字元"/>
    <w:link w:val="0-0"/>
    <w:rsid w:val="00A75CB8"/>
    <w:rPr>
      <w:rFonts w:ascii="Times New Roman" w:eastAsia="標楷體" w:hAnsi="Times New Roman" w:cs="Times New Roman"/>
      <w:b/>
      <w:sz w:val="28"/>
      <w:szCs w:val="28"/>
    </w:rPr>
  </w:style>
  <w:style w:type="paragraph" w:styleId="a3">
    <w:name w:val="List Paragraph"/>
    <w:basedOn w:val="a"/>
    <w:uiPriority w:val="34"/>
    <w:qFormat/>
    <w:rsid w:val="008F58F1"/>
    <w:pPr>
      <w:ind w:leftChars="200" w:left="480"/>
    </w:pPr>
  </w:style>
  <w:style w:type="paragraph" w:customStyle="1" w:styleId="0-3">
    <w:name w:val="0-文"/>
    <w:basedOn w:val="a"/>
    <w:link w:val="0-4"/>
    <w:qFormat/>
    <w:rsid w:val="00A75CB8"/>
    <w:pPr>
      <w:spacing w:line="420" w:lineRule="exact"/>
      <w:jc w:val="both"/>
    </w:pPr>
    <w:rPr>
      <w:rFonts w:ascii="Times New Roman" w:eastAsia="標楷體" w:hAnsi="Times New Roman" w:cs="Times New Roman"/>
      <w:color w:val="000000"/>
      <w:sz w:val="28"/>
      <w:szCs w:val="28"/>
    </w:rPr>
  </w:style>
  <w:style w:type="character" w:customStyle="1" w:styleId="0-4">
    <w:name w:val="0-文 字元"/>
    <w:link w:val="0-3"/>
    <w:rsid w:val="00A75CB8"/>
    <w:rPr>
      <w:rFonts w:ascii="Times New Roman" w:eastAsia="標楷體" w:hAnsi="Times New Roman" w:cs="Times New Roman"/>
      <w:color w:val="000000"/>
      <w:sz w:val="28"/>
      <w:szCs w:val="28"/>
    </w:rPr>
  </w:style>
  <w:style w:type="paragraph" w:customStyle="1" w:styleId="0-5">
    <w:name w:val="0-決議"/>
    <w:basedOn w:val="a"/>
    <w:link w:val="0-6"/>
    <w:qFormat/>
    <w:rsid w:val="00A75CB8"/>
    <w:pPr>
      <w:adjustRightInd w:val="0"/>
      <w:snapToGrid w:val="0"/>
      <w:spacing w:after="120" w:line="420" w:lineRule="exact"/>
      <w:ind w:left="849" w:hangingChars="303" w:hanging="849"/>
    </w:pPr>
    <w:rPr>
      <w:rFonts w:ascii="Times New Roman" w:eastAsia="標楷體" w:hAnsi="Times New Roman" w:cs="Times New Roman"/>
      <w:b/>
      <w:sz w:val="28"/>
      <w:szCs w:val="28"/>
    </w:rPr>
  </w:style>
  <w:style w:type="character" w:customStyle="1" w:styleId="0-6">
    <w:name w:val="0-決議 字元"/>
    <w:link w:val="0-5"/>
    <w:rsid w:val="00A75CB8"/>
    <w:rPr>
      <w:rFonts w:ascii="Times New Roman" w:eastAsia="標楷體" w:hAnsi="Times New Roman" w:cs="Times New Roman"/>
      <w:b/>
      <w:sz w:val="28"/>
      <w:szCs w:val="28"/>
    </w:rPr>
  </w:style>
  <w:style w:type="paragraph" w:customStyle="1" w:styleId="0-1">
    <w:name w:val="0-段"/>
    <w:basedOn w:val="a"/>
    <w:link w:val="0-7"/>
    <w:qFormat/>
    <w:rsid w:val="00A75CB8"/>
    <w:pPr>
      <w:numPr>
        <w:ilvl w:val="2"/>
        <w:numId w:val="4"/>
      </w:numPr>
      <w:spacing w:line="420" w:lineRule="exact"/>
      <w:jc w:val="both"/>
    </w:pPr>
    <w:rPr>
      <w:rFonts w:ascii="標楷體" w:eastAsia="標楷體" w:hAnsi="標楷體" w:cs="Times New Roman"/>
      <w:sz w:val="28"/>
      <w:szCs w:val="28"/>
      <w:lang w:eastAsia="zh-HK"/>
    </w:rPr>
  </w:style>
  <w:style w:type="character" w:customStyle="1" w:styleId="0-7">
    <w:name w:val="0-段 字元"/>
    <w:link w:val="0-1"/>
    <w:rsid w:val="00A75CB8"/>
    <w:rPr>
      <w:rFonts w:ascii="標楷體" w:eastAsia="標楷體" w:hAnsi="標楷體" w:cs="Times New Roman"/>
      <w:sz w:val="28"/>
      <w:szCs w:val="28"/>
      <w:lang w:eastAsia="zh-HK"/>
    </w:rPr>
  </w:style>
  <w:style w:type="paragraph" w:customStyle="1" w:styleId="0-8">
    <w:name w:val="0-執行情形"/>
    <w:basedOn w:val="0-5"/>
    <w:link w:val="0-9"/>
    <w:qFormat/>
    <w:rsid w:val="00A75CB8"/>
    <w:pPr>
      <w:spacing w:after="0" w:line="480" w:lineRule="exact"/>
      <w:ind w:left="1626" w:hangingChars="580" w:hanging="1626"/>
      <w:jc w:val="both"/>
    </w:pPr>
    <w:rPr>
      <w:rFonts w:ascii="Cambria Math" w:hAnsi="Cambria Math" w:cs="Cambria Math"/>
      <w:b w:val="0"/>
    </w:rPr>
  </w:style>
  <w:style w:type="character" w:customStyle="1" w:styleId="0-9">
    <w:name w:val="0-執行情形 字元"/>
    <w:link w:val="0-8"/>
    <w:rsid w:val="00A75CB8"/>
    <w:rPr>
      <w:rFonts w:ascii="Cambria Math" w:eastAsia="標楷體" w:hAnsi="Cambria Math" w:cs="Cambria Math"/>
      <w:sz w:val="28"/>
      <w:szCs w:val="28"/>
    </w:rPr>
  </w:style>
  <w:style w:type="paragraph" w:customStyle="1" w:styleId="0-">
    <w:name w:val="0-壹"/>
    <w:basedOn w:val="a"/>
    <w:link w:val="0-a"/>
    <w:qFormat/>
    <w:rsid w:val="00A75CB8"/>
    <w:pPr>
      <w:numPr>
        <w:numId w:val="4"/>
      </w:numPr>
      <w:spacing w:beforeLines="75" w:before="75" w:line="420" w:lineRule="exact"/>
      <w:jc w:val="both"/>
    </w:pPr>
    <w:rPr>
      <w:rFonts w:ascii="Times New Roman" w:eastAsia="標楷體" w:hAnsi="Times New Roman" w:cs="Times New Roman"/>
      <w:b/>
      <w:color w:val="000000"/>
      <w:sz w:val="28"/>
      <w:szCs w:val="28"/>
    </w:rPr>
  </w:style>
  <w:style w:type="character" w:customStyle="1" w:styleId="0-a">
    <w:name w:val="0-壹 字元"/>
    <w:link w:val="0-"/>
    <w:rsid w:val="00A75CB8"/>
    <w:rPr>
      <w:rFonts w:ascii="Times New Roman" w:eastAsia="標楷體" w:hAnsi="Times New Roman" w:cs="Times New Roman"/>
      <w:b/>
      <w:color w:val="000000"/>
      <w:sz w:val="28"/>
      <w:szCs w:val="28"/>
    </w:rPr>
  </w:style>
  <w:style w:type="paragraph" w:customStyle="1" w:styleId="0-b">
    <w:name w:val="0-提案"/>
    <w:basedOn w:val="a"/>
    <w:link w:val="0-c"/>
    <w:qFormat/>
    <w:rsid w:val="00A75CB8"/>
    <w:pPr>
      <w:spacing w:beforeLines="50" w:before="180" w:line="480" w:lineRule="exact"/>
      <w:ind w:leftChars="1" w:left="1120" w:hangingChars="399" w:hanging="1118"/>
      <w:jc w:val="both"/>
      <w:outlineLvl w:val="1"/>
    </w:pPr>
    <w:rPr>
      <w:rFonts w:ascii="Times New Roman" w:eastAsia="標楷體" w:hAnsi="Times New Roman" w:cs="Times New Roman"/>
      <w:sz w:val="28"/>
      <w:szCs w:val="28"/>
    </w:rPr>
  </w:style>
  <w:style w:type="character" w:customStyle="1" w:styleId="0-c">
    <w:name w:val="0-提案 字元"/>
    <w:link w:val="0-b"/>
    <w:rsid w:val="00A75CB8"/>
    <w:rPr>
      <w:rFonts w:ascii="Times New Roman" w:eastAsia="標楷體" w:hAnsi="Times New Roman" w:cs="Times New Roman"/>
      <w:sz w:val="28"/>
      <w:szCs w:val="28"/>
    </w:rPr>
  </w:style>
  <w:style w:type="paragraph" w:styleId="a4">
    <w:name w:val="header"/>
    <w:basedOn w:val="a"/>
    <w:link w:val="a5"/>
    <w:uiPriority w:val="99"/>
    <w:unhideWhenUsed/>
    <w:rsid w:val="0014348B"/>
    <w:pPr>
      <w:tabs>
        <w:tab w:val="center" w:pos="4153"/>
        <w:tab w:val="right" w:pos="8306"/>
      </w:tabs>
      <w:snapToGrid w:val="0"/>
    </w:pPr>
    <w:rPr>
      <w:sz w:val="20"/>
      <w:szCs w:val="20"/>
    </w:rPr>
  </w:style>
  <w:style w:type="character" w:customStyle="1" w:styleId="a5">
    <w:name w:val="頁首 字元"/>
    <w:basedOn w:val="a0"/>
    <w:link w:val="a4"/>
    <w:uiPriority w:val="99"/>
    <w:rsid w:val="0014348B"/>
    <w:rPr>
      <w:sz w:val="20"/>
      <w:szCs w:val="20"/>
    </w:rPr>
  </w:style>
  <w:style w:type="paragraph" w:styleId="a6">
    <w:name w:val="footer"/>
    <w:basedOn w:val="a"/>
    <w:link w:val="a7"/>
    <w:uiPriority w:val="99"/>
    <w:unhideWhenUsed/>
    <w:rsid w:val="0014348B"/>
    <w:pPr>
      <w:tabs>
        <w:tab w:val="center" w:pos="4153"/>
        <w:tab w:val="right" w:pos="8306"/>
      </w:tabs>
      <w:snapToGrid w:val="0"/>
    </w:pPr>
    <w:rPr>
      <w:sz w:val="20"/>
      <w:szCs w:val="20"/>
    </w:rPr>
  </w:style>
  <w:style w:type="character" w:customStyle="1" w:styleId="a7">
    <w:name w:val="頁尾 字元"/>
    <w:basedOn w:val="a0"/>
    <w:link w:val="a6"/>
    <w:uiPriority w:val="99"/>
    <w:rsid w:val="001434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2022-07-11T06:10:00Z</cp:lastPrinted>
  <dcterms:created xsi:type="dcterms:W3CDTF">2022-07-11T05:38:00Z</dcterms:created>
  <dcterms:modified xsi:type="dcterms:W3CDTF">2022-07-11T06:20:00Z</dcterms:modified>
</cp:coreProperties>
</file>